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EBB8" w14:textId="77777777" w:rsidR="001B4105" w:rsidRDefault="001B4105" w:rsidP="001B4105">
      <w:pPr>
        <w:rPr>
          <w:sz w:val="20"/>
          <w:szCs w:val="20"/>
        </w:rPr>
      </w:pPr>
    </w:p>
    <w:p w14:paraId="1EF7915E" w14:textId="77777777" w:rsidR="008C59ED" w:rsidRPr="009124C2" w:rsidRDefault="008C59ED" w:rsidP="008C59E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661"/>
        <w:gridCol w:w="7130"/>
      </w:tblGrid>
      <w:tr w:rsidR="008C59ED" w:rsidRPr="009124C2" w14:paraId="2F053FC5" w14:textId="77777777" w:rsidTr="00CD1618">
        <w:trPr>
          <w:trHeight w:val="567"/>
        </w:trPr>
        <w:tc>
          <w:tcPr>
            <w:tcW w:w="1980" w:type="dxa"/>
            <w:tcMar>
              <w:top w:w="0" w:type="dxa"/>
              <w:bottom w:w="0" w:type="dxa"/>
            </w:tcMar>
            <w:vAlign w:val="center"/>
          </w:tcPr>
          <w:p w14:paraId="1A9077C0" w14:textId="77777777" w:rsidR="008C59ED" w:rsidRPr="009124C2" w:rsidRDefault="008C59ED" w:rsidP="00CD1618">
            <w:pPr>
              <w:rPr>
                <w:szCs w:val="28"/>
              </w:rPr>
            </w:pPr>
            <w:r w:rsidRPr="009124C2">
              <w:rPr>
                <w:szCs w:val="28"/>
              </w:rPr>
              <w:t xml:space="preserve">   </w:t>
            </w: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637" w:type="dxa"/>
            <w:tcMar>
              <w:top w:w="0" w:type="dxa"/>
              <w:bottom w:w="0" w:type="dxa"/>
            </w:tcMar>
            <w:vAlign w:val="center"/>
          </w:tcPr>
          <w:p w14:paraId="334EC7DC" w14:textId="77777777" w:rsidR="008C59ED" w:rsidRPr="009124C2" w:rsidRDefault="008C59ED" w:rsidP="00CD161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41</w:t>
            </w:r>
          </w:p>
        </w:tc>
        <w:tc>
          <w:tcPr>
            <w:tcW w:w="7130" w:type="dxa"/>
            <w:tcMar>
              <w:top w:w="0" w:type="dxa"/>
              <w:bottom w:w="0" w:type="dxa"/>
            </w:tcMar>
            <w:vAlign w:val="center"/>
          </w:tcPr>
          <w:p w14:paraId="705604DB" w14:textId="77777777" w:rsidR="008C59ED" w:rsidRPr="009124C2" w:rsidRDefault="008C59ED" w:rsidP="00CD161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IL COMPIANTO FUNEBRE DA CANOVA A BOLTANSKY</w:t>
            </w:r>
          </w:p>
        </w:tc>
      </w:tr>
    </w:tbl>
    <w:p w14:paraId="776C25EE" w14:textId="77777777" w:rsidR="008C59ED" w:rsidRPr="009124C2" w:rsidRDefault="008C59ED" w:rsidP="008C59ED">
      <w:pPr>
        <w:rPr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050"/>
      </w:tblGrid>
      <w:tr w:rsidR="008C59ED" w:rsidRPr="009124C2" w14:paraId="75A27A52" w14:textId="77777777" w:rsidTr="00CD1618">
        <w:trPr>
          <w:trHeight w:val="340"/>
        </w:trPr>
        <w:tc>
          <w:tcPr>
            <w:tcW w:w="1728" w:type="dxa"/>
          </w:tcPr>
          <w:p w14:paraId="0AF8129A" w14:textId="77777777" w:rsidR="008C59ED" w:rsidRPr="009124C2" w:rsidRDefault="008C59ED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69EE4A3A" w14:textId="77777777" w:rsidR="008C59ED" w:rsidRPr="009124C2" w:rsidRDefault="008C59ED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Rosa Chiumeo</w:t>
            </w:r>
          </w:p>
        </w:tc>
      </w:tr>
      <w:tr w:rsidR="008C59ED" w:rsidRPr="009124C2" w14:paraId="05D95865" w14:textId="77777777" w:rsidTr="00CD1618">
        <w:trPr>
          <w:trHeight w:val="340"/>
        </w:trPr>
        <w:tc>
          <w:tcPr>
            <w:tcW w:w="1728" w:type="dxa"/>
          </w:tcPr>
          <w:p w14:paraId="753B812A" w14:textId="77777777" w:rsidR="008C59ED" w:rsidRPr="009124C2" w:rsidRDefault="008C59ED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06D71F53" w14:textId="77777777" w:rsidR="008C59ED" w:rsidRPr="009124C2" w:rsidRDefault="008C59ED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Lunedì </w:t>
            </w:r>
            <w:r w:rsidRPr="009124C2">
              <w:rPr>
                <w:sz w:val="22"/>
                <w:szCs w:val="22"/>
              </w:rPr>
              <w:t xml:space="preserve">  </w:t>
            </w:r>
          </w:p>
        </w:tc>
      </w:tr>
      <w:tr w:rsidR="008C59ED" w:rsidRPr="009124C2" w14:paraId="7BA97E4A" w14:textId="77777777" w:rsidTr="00CD1618">
        <w:trPr>
          <w:trHeight w:val="340"/>
        </w:trPr>
        <w:tc>
          <w:tcPr>
            <w:tcW w:w="1728" w:type="dxa"/>
          </w:tcPr>
          <w:p w14:paraId="7E20D8BB" w14:textId="77777777" w:rsidR="008C59ED" w:rsidRPr="009124C2" w:rsidRDefault="008C59ED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4D27670F" w14:textId="77777777" w:rsidR="008C59ED" w:rsidRPr="009124C2" w:rsidRDefault="008C59ED" w:rsidP="00CD1618">
            <w:pPr>
              <w:rPr>
                <w:sz w:val="22"/>
                <w:szCs w:val="22"/>
              </w:rPr>
            </w:pPr>
            <w:r w:rsidRPr="009124C2">
              <w:rPr>
                <w:sz w:val="22"/>
                <w:szCs w:val="22"/>
              </w:rPr>
              <w:t>15.00 – 17.15</w:t>
            </w:r>
          </w:p>
        </w:tc>
      </w:tr>
      <w:tr w:rsidR="008C59ED" w:rsidRPr="009124C2" w14:paraId="29015091" w14:textId="77777777" w:rsidTr="00CD1618">
        <w:trPr>
          <w:trHeight w:val="340"/>
        </w:trPr>
        <w:tc>
          <w:tcPr>
            <w:tcW w:w="1728" w:type="dxa"/>
          </w:tcPr>
          <w:p w14:paraId="305EE6E7" w14:textId="77777777" w:rsidR="008C59ED" w:rsidRPr="009124C2" w:rsidRDefault="008C59ED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43CCF5DF" w14:textId="77777777" w:rsidR="008C59ED" w:rsidRPr="009124C2" w:rsidRDefault="008C59ED" w:rsidP="00CD1618">
            <w:pPr>
              <w:rPr>
                <w:sz w:val="22"/>
                <w:szCs w:val="22"/>
              </w:rPr>
            </w:pPr>
            <w:r w:rsidRPr="009124C2">
              <w:rPr>
                <w:sz w:val="22"/>
                <w:szCs w:val="22"/>
              </w:rPr>
              <w:t xml:space="preserve">Dal </w:t>
            </w:r>
            <w:r>
              <w:rPr>
                <w:sz w:val="22"/>
                <w:szCs w:val="22"/>
              </w:rPr>
              <w:t>31.1.2022</w:t>
            </w:r>
            <w:r w:rsidRPr="009124C2">
              <w:rPr>
                <w:sz w:val="22"/>
                <w:szCs w:val="22"/>
              </w:rPr>
              <w:t xml:space="preserve"> al </w:t>
            </w:r>
            <w:r>
              <w:rPr>
                <w:sz w:val="22"/>
                <w:szCs w:val="22"/>
              </w:rPr>
              <w:t>28.2.2022 (5 incontri)</w:t>
            </w:r>
          </w:p>
        </w:tc>
      </w:tr>
      <w:tr w:rsidR="008C59ED" w:rsidRPr="009124C2" w14:paraId="4414B5DB" w14:textId="77777777" w:rsidTr="00CD1618">
        <w:trPr>
          <w:trHeight w:val="340"/>
        </w:trPr>
        <w:tc>
          <w:tcPr>
            <w:tcW w:w="1728" w:type="dxa"/>
          </w:tcPr>
          <w:p w14:paraId="327C9B60" w14:textId="77777777" w:rsidR="008C59ED" w:rsidRPr="009124C2" w:rsidRDefault="008C59ED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71617D66" w14:textId="77777777" w:rsidR="008C59ED" w:rsidRPr="009124C2" w:rsidRDefault="008C59ED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Mutuo Soccorso</w:t>
            </w:r>
            <w:r w:rsidRPr="009124C2">
              <w:rPr>
                <w:sz w:val="22"/>
                <w:szCs w:val="22"/>
              </w:rPr>
              <w:t xml:space="preserve"> (€ </w:t>
            </w:r>
            <w:r>
              <w:rPr>
                <w:sz w:val="22"/>
                <w:szCs w:val="22"/>
              </w:rPr>
              <w:t>20</w:t>
            </w:r>
            <w:r w:rsidRPr="009124C2">
              <w:rPr>
                <w:sz w:val="22"/>
                <w:szCs w:val="22"/>
              </w:rPr>
              <w:t>)</w:t>
            </w:r>
          </w:p>
        </w:tc>
      </w:tr>
      <w:tr w:rsidR="008C59ED" w:rsidRPr="009124C2" w14:paraId="66D3BA83" w14:textId="77777777" w:rsidTr="00CD1618">
        <w:trPr>
          <w:trHeight w:val="340"/>
        </w:trPr>
        <w:tc>
          <w:tcPr>
            <w:tcW w:w="1728" w:type="dxa"/>
          </w:tcPr>
          <w:p w14:paraId="69915983" w14:textId="77777777" w:rsidR="008C59ED" w:rsidRPr="009124C2" w:rsidRDefault="008C59ED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0823F752" w14:textId="3022A42D" w:rsidR="008C59ED" w:rsidRPr="009124C2" w:rsidRDefault="008C59ED" w:rsidP="00CD16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Storia dell’arte </w:t>
            </w:r>
            <w:r w:rsidRPr="009124C2">
              <w:rPr>
                <w:sz w:val="22"/>
                <w:szCs w:val="22"/>
              </w:rPr>
              <w:t>(max.</w:t>
            </w:r>
            <w:r w:rsidR="00A067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</w:t>
            </w:r>
            <w:r w:rsidRPr="009124C2">
              <w:rPr>
                <w:sz w:val="22"/>
                <w:szCs w:val="22"/>
              </w:rPr>
              <w:t xml:space="preserve">) </w:t>
            </w:r>
          </w:p>
        </w:tc>
      </w:tr>
      <w:tr w:rsidR="008C59ED" w:rsidRPr="009124C2" w14:paraId="13AA5749" w14:textId="77777777" w:rsidTr="00CD1618">
        <w:trPr>
          <w:trHeight w:val="340"/>
        </w:trPr>
        <w:tc>
          <w:tcPr>
            <w:tcW w:w="1728" w:type="dxa"/>
          </w:tcPr>
          <w:p w14:paraId="63A7167E" w14:textId="77777777" w:rsidR="008C59ED" w:rsidRPr="009124C2" w:rsidRDefault="008C59ED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1C16D6FD" w14:textId="77777777" w:rsidR="008C59ED" w:rsidRPr="00D065CE" w:rsidRDefault="008C59ED" w:rsidP="00CD1618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D065CE">
              <w:rPr>
                <w:rFonts w:cs="Arial"/>
                <w:i/>
                <w:iCs/>
                <w:sz w:val="22"/>
                <w:szCs w:val="22"/>
              </w:rPr>
              <w:t xml:space="preserve">L’arte si è da sempre misurata con il tema della morte e con la sua rappresentazione. Dal 1700 ad oggi, da Canova a Goya, da Delacroix a Courbet, con nuovi mezzi e differenti strumenti, da </w:t>
            </w:r>
            <w:proofErr w:type="spellStart"/>
            <w:r w:rsidRPr="00D065CE">
              <w:rPr>
                <w:rFonts w:cs="Arial"/>
                <w:i/>
                <w:iCs/>
                <w:sz w:val="22"/>
                <w:szCs w:val="22"/>
              </w:rPr>
              <w:t>Nadar</w:t>
            </w:r>
            <w:proofErr w:type="spellEnd"/>
            <w:r w:rsidRPr="00D065CE">
              <w:rPr>
                <w:rFonts w:cs="Arial"/>
                <w:i/>
                <w:iCs/>
                <w:sz w:val="22"/>
                <w:szCs w:val="22"/>
              </w:rPr>
              <w:t xml:space="preserve"> a Bill Viola, fino a </w:t>
            </w:r>
            <w:proofErr w:type="spellStart"/>
            <w:r w:rsidRPr="00D065CE">
              <w:rPr>
                <w:rFonts w:cs="Arial"/>
                <w:i/>
                <w:iCs/>
                <w:sz w:val="22"/>
                <w:szCs w:val="22"/>
              </w:rPr>
              <w:t>Boltansky</w:t>
            </w:r>
            <w:proofErr w:type="spellEnd"/>
            <w:r w:rsidRPr="00D065CE">
              <w:rPr>
                <w:rFonts w:cs="Arial"/>
                <w:i/>
                <w:iCs/>
                <w:sz w:val="22"/>
                <w:szCs w:val="22"/>
              </w:rPr>
              <w:t>, le opere d’arte hanno dato forma alle differenti e contrastanti visioni dell’esistenza che dinamiche storiche e riflessione filosofica andavano elaborando: meditazione sul destino dell’uomo, educazione etica e civile, celebrazione eroica, constatazione realistica; anche ironia dissacrante senza censure.</w:t>
            </w:r>
          </w:p>
          <w:p w14:paraId="33425B03" w14:textId="77777777" w:rsidR="008C59ED" w:rsidRPr="00C765BA" w:rsidRDefault="008C59ED" w:rsidP="00CD1618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8C59ED" w:rsidRPr="009124C2" w14:paraId="71018AAD" w14:textId="77777777" w:rsidTr="00CD1618">
        <w:trPr>
          <w:trHeight w:val="340"/>
        </w:trPr>
        <w:tc>
          <w:tcPr>
            <w:tcW w:w="1728" w:type="dxa"/>
          </w:tcPr>
          <w:p w14:paraId="08E35328" w14:textId="77777777" w:rsidR="008C59ED" w:rsidRPr="009124C2" w:rsidRDefault="008C59ED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13F9CB86" w14:textId="77777777" w:rsidR="008C59ED" w:rsidRPr="009124C2" w:rsidRDefault="008C59ED" w:rsidP="00CD1618">
            <w:pPr>
              <w:jc w:val="both"/>
              <w:rPr>
                <w:rFonts w:cs="Arial"/>
                <w:iCs/>
                <w:sz w:val="22"/>
                <w:szCs w:val="28"/>
              </w:rPr>
            </w:pPr>
          </w:p>
        </w:tc>
      </w:tr>
    </w:tbl>
    <w:p w14:paraId="6331F51F" w14:textId="77777777" w:rsidR="008C59ED" w:rsidRPr="009124C2" w:rsidRDefault="008C59ED" w:rsidP="008C59ED">
      <w:pPr>
        <w:rPr>
          <w:sz w:val="24"/>
        </w:rPr>
      </w:pPr>
    </w:p>
    <w:p w14:paraId="0E95A438" w14:textId="77777777" w:rsidR="008C59ED" w:rsidRPr="009124C2" w:rsidRDefault="008C59ED" w:rsidP="008C59ED">
      <w:pPr>
        <w:pStyle w:val="Titolo5"/>
      </w:pPr>
      <w:r w:rsidRPr="009124C2">
        <w:t xml:space="preserve">Calendario   </w:t>
      </w:r>
    </w:p>
    <w:p w14:paraId="1DC9B8C9" w14:textId="77777777" w:rsidR="008C59ED" w:rsidRPr="00DA5B7A" w:rsidRDefault="008C59ED" w:rsidP="008C59ED">
      <w:pPr>
        <w:rPr>
          <w:sz w:val="22"/>
          <w:szCs w:val="22"/>
        </w:rPr>
      </w:pPr>
    </w:p>
    <w:tbl>
      <w:tblPr>
        <w:tblW w:w="9793" w:type="dxa"/>
        <w:tblLook w:val="00A0" w:firstRow="1" w:lastRow="0" w:firstColumn="1" w:lastColumn="0" w:noHBand="0" w:noVBand="0"/>
      </w:tblPr>
      <w:tblGrid>
        <w:gridCol w:w="483"/>
        <w:gridCol w:w="1605"/>
        <w:gridCol w:w="7705"/>
      </w:tblGrid>
      <w:tr w:rsidR="008C59ED" w:rsidRPr="009124C2" w14:paraId="1318551B" w14:textId="77777777" w:rsidTr="00CD1618">
        <w:trPr>
          <w:trHeight w:val="567"/>
        </w:trPr>
        <w:tc>
          <w:tcPr>
            <w:tcW w:w="483" w:type="dxa"/>
          </w:tcPr>
          <w:p w14:paraId="5EC2B296" w14:textId="77777777" w:rsidR="008C59ED" w:rsidRPr="00DE7CC6" w:rsidRDefault="008C59ED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05" w:type="dxa"/>
          </w:tcPr>
          <w:p w14:paraId="6E4A0DD7" w14:textId="77777777" w:rsidR="008C59ED" w:rsidRPr="009124C2" w:rsidRDefault="008C59ED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31.01.2022</w:t>
            </w:r>
          </w:p>
        </w:tc>
        <w:tc>
          <w:tcPr>
            <w:tcW w:w="7705" w:type="dxa"/>
          </w:tcPr>
          <w:p w14:paraId="2A01D9C8" w14:textId="77777777" w:rsidR="008C59ED" w:rsidRPr="0079322E" w:rsidRDefault="008C59ED" w:rsidP="00D06D9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22E">
              <w:rPr>
                <w:rFonts w:ascii="Arial" w:hAnsi="Arial" w:cs="Arial"/>
                <w:sz w:val="22"/>
                <w:szCs w:val="22"/>
              </w:rPr>
              <w:t xml:space="preserve">Lo spettacolo della morte nei trionfi barocchi, confronto con la severità solenne del neoclassicismo. Il sepolcro diventa luogo di meditazione silenziosa. “A egregie cose il forte animo accendono </w:t>
            </w:r>
            <w:proofErr w:type="spellStart"/>
            <w:r w:rsidRPr="0079322E">
              <w:rPr>
                <w:rFonts w:ascii="Arial" w:hAnsi="Arial" w:cs="Arial"/>
                <w:sz w:val="22"/>
                <w:szCs w:val="22"/>
              </w:rPr>
              <w:t>l’urne</w:t>
            </w:r>
            <w:proofErr w:type="spellEnd"/>
            <w:r w:rsidRPr="0079322E">
              <w:rPr>
                <w:rFonts w:ascii="Arial" w:hAnsi="Arial" w:cs="Arial"/>
                <w:sz w:val="22"/>
                <w:szCs w:val="22"/>
              </w:rPr>
              <w:t xml:space="preserve"> dei forti…” </w:t>
            </w:r>
            <w:proofErr w:type="spellStart"/>
            <w:r w:rsidRPr="0079322E">
              <w:rPr>
                <w:rFonts w:ascii="Arial" w:hAnsi="Arial" w:cs="Arial"/>
                <w:sz w:val="22"/>
                <w:szCs w:val="22"/>
              </w:rPr>
              <w:t>Boullè</w:t>
            </w:r>
            <w:proofErr w:type="spellEnd"/>
            <w:r w:rsidRPr="0079322E">
              <w:rPr>
                <w:rFonts w:ascii="Arial" w:hAnsi="Arial" w:cs="Arial"/>
                <w:sz w:val="22"/>
                <w:szCs w:val="22"/>
              </w:rPr>
              <w:t>. L’orrore e la paura della morte della morte in Goya</w:t>
            </w:r>
          </w:p>
          <w:p w14:paraId="240C9E0E" w14:textId="77777777" w:rsidR="008C59ED" w:rsidRPr="0079322E" w:rsidRDefault="008C59ED" w:rsidP="00D06D9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C59ED" w:rsidRPr="009124C2" w14:paraId="5B72FF96" w14:textId="77777777" w:rsidTr="00CD1618">
        <w:trPr>
          <w:trHeight w:val="567"/>
        </w:trPr>
        <w:tc>
          <w:tcPr>
            <w:tcW w:w="483" w:type="dxa"/>
          </w:tcPr>
          <w:p w14:paraId="2785B45E" w14:textId="77777777" w:rsidR="008C59ED" w:rsidRPr="00DE7CC6" w:rsidRDefault="008C59ED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05" w:type="dxa"/>
          </w:tcPr>
          <w:p w14:paraId="4F653F88" w14:textId="77777777" w:rsidR="008C59ED" w:rsidRPr="009124C2" w:rsidRDefault="008C59ED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07.02.2022</w:t>
            </w:r>
          </w:p>
        </w:tc>
        <w:tc>
          <w:tcPr>
            <w:tcW w:w="7705" w:type="dxa"/>
          </w:tcPr>
          <w:p w14:paraId="7A4325E2" w14:textId="77777777" w:rsidR="008C59ED" w:rsidRPr="0079322E" w:rsidRDefault="008C59ED" w:rsidP="00D06D9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22E">
              <w:rPr>
                <w:rFonts w:ascii="Arial" w:hAnsi="Arial" w:cs="Arial"/>
                <w:sz w:val="22"/>
                <w:szCs w:val="22"/>
              </w:rPr>
              <w:t>Eroismo, amore e morte nel romanticismo. Il paesaggio romantico, affacciarsi sull’abisso: mistero e naufragio. Géricault, Delacroix, Friedrich</w:t>
            </w:r>
          </w:p>
          <w:p w14:paraId="7D115B5D" w14:textId="77777777" w:rsidR="008C59ED" w:rsidRPr="0079322E" w:rsidRDefault="008C59ED" w:rsidP="00D06D9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EB0030" w14:textId="77777777" w:rsidR="008C59ED" w:rsidRPr="0079322E" w:rsidRDefault="008C59ED" w:rsidP="00D06D9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C59ED" w:rsidRPr="009124C2" w14:paraId="0276BA17" w14:textId="77777777" w:rsidTr="00CD1618">
        <w:trPr>
          <w:trHeight w:val="567"/>
        </w:trPr>
        <w:tc>
          <w:tcPr>
            <w:tcW w:w="483" w:type="dxa"/>
          </w:tcPr>
          <w:p w14:paraId="65C408A3" w14:textId="77777777" w:rsidR="008C59ED" w:rsidRPr="00DE7CC6" w:rsidRDefault="008C59ED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05" w:type="dxa"/>
          </w:tcPr>
          <w:p w14:paraId="2C8C4BAE" w14:textId="77777777" w:rsidR="008C59ED" w:rsidRPr="009124C2" w:rsidRDefault="008C59ED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233BE7">
              <w:rPr>
                <w:sz w:val="22"/>
                <w:szCs w:val="22"/>
              </w:rPr>
              <w:t>.02.2022</w:t>
            </w:r>
          </w:p>
        </w:tc>
        <w:tc>
          <w:tcPr>
            <w:tcW w:w="7705" w:type="dxa"/>
          </w:tcPr>
          <w:p w14:paraId="1D400C5C" w14:textId="77777777" w:rsidR="008C59ED" w:rsidRPr="0079322E" w:rsidRDefault="008C59ED" w:rsidP="00D06D9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22E">
              <w:rPr>
                <w:rFonts w:ascii="Arial" w:hAnsi="Arial" w:cs="Arial"/>
                <w:sz w:val="22"/>
                <w:szCs w:val="22"/>
              </w:rPr>
              <w:t xml:space="preserve">Realismo e fotografia. Il funerale di </w:t>
            </w:r>
            <w:proofErr w:type="spellStart"/>
            <w:r w:rsidRPr="0079322E">
              <w:rPr>
                <w:rFonts w:ascii="Arial" w:hAnsi="Arial" w:cs="Arial"/>
                <w:sz w:val="22"/>
                <w:szCs w:val="22"/>
              </w:rPr>
              <w:t>Ornans</w:t>
            </w:r>
            <w:proofErr w:type="spellEnd"/>
            <w:r w:rsidRPr="0079322E">
              <w:rPr>
                <w:rFonts w:ascii="Arial" w:hAnsi="Arial" w:cs="Arial"/>
                <w:sz w:val="22"/>
                <w:szCs w:val="22"/>
              </w:rPr>
              <w:t xml:space="preserve"> di Courbet.</w:t>
            </w:r>
          </w:p>
          <w:p w14:paraId="3D26D71A" w14:textId="77777777" w:rsidR="008C59ED" w:rsidRPr="0079322E" w:rsidRDefault="008C59ED" w:rsidP="00D06D9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22E">
              <w:rPr>
                <w:rFonts w:ascii="Arial" w:hAnsi="Arial" w:cs="Arial"/>
                <w:sz w:val="22"/>
                <w:szCs w:val="22"/>
              </w:rPr>
              <w:t>La fotografia documenta tutti gli aspetti della vita e della morte. Artisti inquieti ai tempi della bella époque: Munch, Ensor.</w:t>
            </w:r>
          </w:p>
          <w:p w14:paraId="1616C455" w14:textId="77777777" w:rsidR="008C59ED" w:rsidRPr="0079322E" w:rsidRDefault="008C59ED" w:rsidP="00D06D9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C59ED" w:rsidRPr="009124C2" w14:paraId="5907B88D" w14:textId="77777777" w:rsidTr="00CD1618">
        <w:trPr>
          <w:trHeight w:val="567"/>
        </w:trPr>
        <w:tc>
          <w:tcPr>
            <w:tcW w:w="483" w:type="dxa"/>
          </w:tcPr>
          <w:p w14:paraId="1FCDA33A" w14:textId="77777777" w:rsidR="008C59ED" w:rsidRPr="00DE7CC6" w:rsidRDefault="008C59ED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05" w:type="dxa"/>
          </w:tcPr>
          <w:p w14:paraId="2EFBBB9E" w14:textId="77777777" w:rsidR="008C59ED" w:rsidRPr="009124C2" w:rsidRDefault="008C59ED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233BE7">
              <w:rPr>
                <w:sz w:val="22"/>
                <w:szCs w:val="22"/>
              </w:rPr>
              <w:t>.02.2022</w:t>
            </w:r>
          </w:p>
        </w:tc>
        <w:tc>
          <w:tcPr>
            <w:tcW w:w="7705" w:type="dxa"/>
          </w:tcPr>
          <w:p w14:paraId="0A597B30" w14:textId="77777777" w:rsidR="008C59ED" w:rsidRPr="0079322E" w:rsidRDefault="008C59ED" w:rsidP="00D06D9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22E">
              <w:rPr>
                <w:rFonts w:ascii="Arial" w:hAnsi="Arial" w:cs="Arial"/>
                <w:sz w:val="22"/>
                <w:szCs w:val="22"/>
              </w:rPr>
              <w:t xml:space="preserve">Gli orrori della guerra: Dix, Grosz, </w:t>
            </w:r>
            <w:proofErr w:type="spellStart"/>
            <w:r w:rsidRPr="0079322E">
              <w:rPr>
                <w:rFonts w:ascii="Arial" w:hAnsi="Arial" w:cs="Arial"/>
                <w:sz w:val="22"/>
                <w:szCs w:val="22"/>
              </w:rPr>
              <w:t>Kollwitz</w:t>
            </w:r>
            <w:proofErr w:type="spellEnd"/>
            <w:r w:rsidRPr="0079322E">
              <w:rPr>
                <w:rFonts w:ascii="Arial" w:hAnsi="Arial" w:cs="Arial"/>
                <w:sz w:val="22"/>
                <w:szCs w:val="22"/>
              </w:rPr>
              <w:t>, Picasso, Dalì</w:t>
            </w:r>
          </w:p>
          <w:p w14:paraId="25D78B4C" w14:textId="77777777" w:rsidR="008C59ED" w:rsidRPr="0079322E" w:rsidRDefault="008C59ED" w:rsidP="00D06D9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C59ED" w:rsidRPr="009124C2" w14:paraId="700AFFD6" w14:textId="77777777" w:rsidTr="00CD1618">
        <w:trPr>
          <w:trHeight w:val="567"/>
        </w:trPr>
        <w:tc>
          <w:tcPr>
            <w:tcW w:w="483" w:type="dxa"/>
          </w:tcPr>
          <w:p w14:paraId="183FE02D" w14:textId="77777777" w:rsidR="008C59ED" w:rsidRPr="00DE7CC6" w:rsidRDefault="008C59ED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05" w:type="dxa"/>
          </w:tcPr>
          <w:p w14:paraId="6587E7DA" w14:textId="77777777" w:rsidR="008C59ED" w:rsidRPr="00EB4BE2" w:rsidRDefault="008C59ED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233BE7">
              <w:rPr>
                <w:sz w:val="22"/>
                <w:szCs w:val="22"/>
              </w:rPr>
              <w:t>.02.2022</w:t>
            </w:r>
          </w:p>
        </w:tc>
        <w:tc>
          <w:tcPr>
            <w:tcW w:w="7705" w:type="dxa"/>
          </w:tcPr>
          <w:p w14:paraId="29D6774E" w14:textId="77777777" w:rsidR="008C59ED" w:rsidRPr="0079322E" w:rsidRDefault="008C59ED" w:rsidP="00D06D9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22E">
              <w:rPr>
                <w:rFonts w:ascii="Arial" w:hAnsi="Arial" w:cs="Arial"/>
                <w:sz w:val="22"/>
                <w:szCs w:val="22"/>
              </w:rPr>
              <w:t xml:space="preserve">Kantor, Music, </w:t>
            </w:r>
            <w:proofErr w:type="spellStart"/>
            <w:r w:rsidRPr="0079322E">
              <w:rPr>
                <w:rFonts w:ascii="Arial" w:hAnsi="Arial" w:cs="Arial"/>
                <w:sz w:val="22"/>
                <w:szCs w:val="22"/>
              </w:rPr>
              <w:t>Shapira</w:t>
            </w:r>
            <w:proofErr w:type="spellEnd"/>
            <w:r w:rsidRPr="0079322E">
              <w:rPr>
                <w:rFonts w:ascii="Arial" w:hAnsi="Arial" w:cs="Arial"/>
                <w:sz w:val="22"/>
                <w:szCs w:val="22"/>
              </w:rPr>
              <w:t xml:space="preserve">, Viola, </w:t>
            </w:r>
            <w:proofErr w:type="spellStart"/>
            <w:r w:rsidRPr="0079322E">
              <w:rPr>
                <w:rFonts w:ascii="Arial" w:hAnsi="Arial" w:cs="Arial"/>
                <w:sz w:val="22"/>
                <w:szCs w:val="22"/>
              </w:rPr>
              <w:t>Boltansky</w:t>
            </w:r>
            <w:proofErr w:type="spellEnd"/>
            <w:r w:rsidRPr="0079322E">
              <w:rPr>
                <w:rFonts w:ascii="Arial" w:hAnsi="Arial" w:cs="Arial"/>
                <w:sz w:val="22"/>
                <w:szCs w:val="22"/>
              </w:rPr>
              <w:t>. L’arte contemporanea si misura con l’indicibile sofferenza della shoah e della Seconda guerra mondiale. Monumenti funebri per la meditazione contemporanea: Spalletti, Scarpa</w:t>
            </w:r>
          </w:p>
          <w:p w14:paraId="23ABAE66" w14:textId="77777777" w:rsidR="008C59ED" w:rsidRPr="0079322E" w:rsidRDefault="008C59ED" w:rsidP="00D06D9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4E4857" w14:textId="77777777" w:rsidR="008C59ED" w:rsidRPr="0079322E" w:rsidRDefault="008C59ED" w:rsidP="00D06D9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39D772" w14:textId="77777777" w:rsidR="008C59ED" w:rsidRPr="0079322E" w:rsidRDefault="008C59ED" w:rsidP="00D06D9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7105A342" w14:textId="77777777" w:rsidR="008C59ED" w:rsidRDefault="008C59ED" w:rsidP="008C59ED">
      <w:pPr>
        <w:rPr>
          <w:rFonts w:cs="Arial"/>
          <w:color w:val="000000"/>
          <w:sz w:val="16"/>
          <w:szCs w:val="16"/>
          <w:shd w:val="clear" w:color="auto" w:fill="FFFFFF"/>
        </w:rPr>
      </w:pPr>
    </w:p>
    <w:p w14:paraId="0C4FC71E" w14:textId="3B1B4FDF" w:rsidR="001B4105" w:rsidRPr="008C59ED" w:rsidRDefault="001B4105" w:rsidP="001B4105">
      <w:pPr>
        <w:rPr>
          <w:rFonts w:cs="Arial"/>
          <w:color w:val="000000"/>
          <w:sz w:val="16"/>
          <w:szCs w:val="16"/>
          <w:shd w:val="clear" w:color="auto" w:fill="FFFFFF"/>
        </w:rPr>
      </w:pPr>
    </w:p>
    <w:sectPr w:rsidR="001B4105" w:rsidRPr="008C59ED" w:rsidSect="001E72A0">
      <w:headerReference w:type="default" r:id="rId6"/>
      <w:pgSz w:w="11906" w:h="16838"/>
      <w:pgMar w:top="1417" w:right="1134" w:bottom="426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1E07" w14:textId="77777777" w:rsidR="009002CD" w:rsidRDefault="009002CD" w:rsidP="00DE7D03">
      <w:r>
        <w:separator/>
      </w:r>
    </w:p>
  </w:endnote>
  <w:endnote w:type="continuationSeparator" w:id="0">
    <w:p w14:paraId="385F54A0" w14:textId="77777777" w:rsidR="009002CD" w:rsidRDefault="009002CD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4175" w14:textId="77777777" w:rsidR="009002CD" w:rsidRDefault="009002CD" w:rsidP="00DE7D03">
      <w:r>
        <w:separator/>
      </w:r>
    </w:p>
  </w:footnote>
  <w:footnote w:type="continuationSeparator" w:id="0">
    <w:p w14:paraId="5D97B458" w14:textId="77777777" w:rsidR="009002CD" w:rsidRDefault="009002CD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947B" w14:textId="3D50C0E2" w:rsidR="00DE7D03" w:rsidRPr="00DE7D03" w:rsidRDefault="00D06D9F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1FB83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1025" type="#_x0000_t75" alt="TU_200X261 " style="position:absolute;margin-left:0;margin-top:-10.4pt;width:47.7pt;height:62.8pt;z-index:251657728;visibility:visible" wrapcoords="-338 0 -338 21343 21600 21343 21600 0 -338 0">
          <v:imagedata r:id="rId1" o:title="TU_200X261 "/>
          <w10:wrap type="tight"/>
        </v:shape>
      </w:pict>
    </w:r>
    <w:r w:rsidR="00DE7D03">
      <w:t xml:space="preserve"> </w:t>
    </w:r>
    <w:r w:rsidR="006E5873">
      <w:t xml:space="preserve">                    </w:t>
    </w:r>
    <w:proofErr w:type="gramStart"/>
    <w:r w:rsidR="00DE7D03" w:rsidRPr="00DE7D03">
      <w:rPr>
        <w:rFonts w:cs="Arial"/>
        <w:b/>
        <w:bCs/>
        <w:i/>
        <w:iCs/>
        <w:sz w:val="60"/>
      </w:rPr>
      <w:t>Tu  -</w:t>
    </w:r>
    <w:proofErr w:type="gramEnd"/>
    <w:r w:rsidR="00DE7D03" w:rsidRPr="00DE7D03">
      <w:rPr>
        <w:rFonts w:cs="Arial"/>
        <w:b/>
        <w:bCs/>
        <w:i/>
        <w:iCs/>
        <w:sz w:val="60"/>
      </w:rPr>
      <w:t xml:space="preserve">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637802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1E72A0">
      <w:rPr>
        <w:rFonts w:cs="Arial"/>
        <w:b/>
        <w:bCs/>
        <w:sz w:val="44"/>
      </w:rPr>
      <w:t>2</w:t>
    </w:r>
    <w:r w:rsidR="00637802">
      <w:rPr>
        <w:rFonts w:cs="Arial"/>
        <w:b/>
        <w:bCs/>
        <w:sz w:val="44"/>
      </w:rPr>
      <w:t>2</w:t>
    </w:r>
  </w:p>
  <w:p w14:paraId="2BC9F239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 </w:t>
    </w:r>
    <w:r w:rsidR="00E83EA3">
      <w:rPr>
        <w:rFonts w:cs="Arial"/>
        <w:color w:val="008000"/>
        <w:szCs w:val="28"/>
      </w:rPr>
      <w:t>Bergamo</w:t>
    </w:r>
    <w:r w:rsidRPr="00DE7D03">
      <w:rPr>
        <w:rFonts w:cs="Arial"/>
        <w:color w:val="008000"/>
        <w:szCs w:val="28"/>
      </w:rPr>
      <w:t xml:space="preserve"> - </w:t>
    </w:r>
    <w:r w:rsidR="00936C1C">
      <w:rPr>
        <w:rFonts w:cs="Arial"/>
        <w:b/>
        <w:bCs/>
        <w:color w:val="008000"/>
        <w:sz w:val="24"/>
      </w:rPr>
      <w:t>SECONDA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4105"/>
    <w:rsid w:val="00191EDA"/>
    <w:rsid w:val="001B4105"/>
    <w:rsid w:val="001C0ACE"/>
    <w:rsid w:val="001E72A0"/>
    <w:rsid w:val="002808B4"/>
    <w:rsid w:val="0028501F"/>
    <w:rsid w:val="0047023F"/>
    <w:rsid w:val="004E36B0"/>
    <w:rsid w:val="00514453"/>
    <w:rsid w:val="00523CC4"/>
    <w:rsid w:val="005D4351"/>
    <w:rsid w:val="005F6D8B"/>
    <w:rsid w:val="00637802"/>
    <w:rsid w:val="006A0970"/>
    <w:rsid w:val="006E5873"/>
    <w:rsid w:val="00770F43"/>
    <w:rsid w:val="00773F28"/>
    <w:rsid w:val="0077402E"/>
    <w:rsid w:val="007833CE"/>
    <w:rsid w:val="00791953"/>
    <w:rsid w:val="007C3537"/>
    <w:rsid w:val="00830E97"/>
    <w:rsid w:val="00873FBA"/>
    <w:rsid w:val="008A5CEA"/>
    <w:rsid w:val="008C59ED"/>
    <w:rsid w:val="009002CD"/>
    <w:rsid w:val="00936C1C"/>
    <w:rsid w:val="00963621"/>
    <w:rsid w:val="00A067A8"/>
    <w:rsid w:val="00A41048"/>
    <w:rsid w:val="00D06D9F"/>
    <w:rsid w:val="00DC5CE5"/>
    <w:rsid w:val="00DD0302"/>
    <w:rsid w:val="00DE7D03"/>
    <w:rsid w:val="00E302B7"/>
    <w:rsid w:val="00E83EA3"/>
    <w:rsid w:val="00EF2AF9"/>
    <w:rsid w:val="00F027DF"/>
    <w:rsid w:val="00F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70CAD"/>
  <w15:docId w15:val="{D9380967-AA36-46D2-A935-76CF1026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105"/>
    <w:rPr>
      <w:rFonts w:ascii="Arial" w:eastAsia="Times New Roman" w:hAnsi="Arial"/>
      <w:sz w:val="28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1B4105"/>
    <w:pPr>
      <w:keepNext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  <w:style w:type="character" w:customStyle="1" w:styleId="Titolo5Carattere">
    <w:name w:val="Titolo 5 Carattere"/>
    <w:link w:val="Titolo5"/>
    <w:rsid w:val="001B4105"/>
    <w:rPr>
      <w:rFonts w:ascii="Arial" w:eastAsia="Times New Roman" w:hAnsi="Arial"/>
      <w:b/>
      <w:sz w:val="24"/>
      <w:szCs w:val="24"/>
    </w:rPr>
  </w:style>
  <w:style w:type="paragraph" w:customStyle="1" w:styleId="Contenutotabella">
    <w:name w:val="Contenuto tabella"/>
    <w:basedOn w:val="Normale"/>
    <w:rsid w:val="001B4105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8C59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BG%20TESTATA%20seconda%20fase%202019-20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BG TESTATA seconda fase 2019-2020</Template>
  <TotalTime>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Terzi Angiola</cp:lastModifiedBy>
  <cp:revision>5</cp:revision>
  <dcterms:created xsi:type="dcterms:W3CDTF">2019-11-09T08:54:00Z</dcterms:created>
  <dcterms:modified xsi:type="dcterms:W3CDTF">2021-11-02T13:28:00Z</dcterms:modified>
</cp:coreProperties>
</file>