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0A85" w14:textId="77777777" w:rsidR="001A49D9" w:rsidRPr="00837008" w:rsidRDefault="001A49D9" w:rsidP="001A49D9">
      <w:pPr>
        <w:rPr>
          <w:sz w:val="20"/>
          <w:szCs w:val="20"/>
        </w:rPr>
      </w:pPr>
    </w:p>
    <w:p w14:paraId="2D915D7E" w14:textId="77777777" w:rsidR="001A49D9" w:rsidRPr="00837008" w:rsidRDefault="001A49D9" w:rsidP="001A49D9">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80"/>
        <w:gridCol w:w="661"/>
        <w:gridCol w:w="7130"/>
      </w:tblGrid>
      <w:tr w:rsidR="001A49D9" w:rsidRPr="00837008" w14:paraId="5A9E70D9" w14:textId="77777777" w:rsidTr="001779AE">
        <w:trPr>
          <w:trHeight w:val="567"/>
        </w:trPr>
        <w:tc>
          <w:tcPr>
            <w:tcW w:w="1980" w:type="dxa"/>
            <w:tcMar>
              <w:top w:w="0" w:type="dxa"/>
              <w:bottom w:w="0" w:type="dxa"/>
            </w:tcMar>
            <w:vAlign w:val="center"/>
          </w:tcPr>
          <w:p w14:paraId="3CBC880F" w14:textId="77777777" w:rsidR="001A49D9" w:rsidRPr="00837008" w:rsidRDefault="001A49D9" w:rsidP="001779AE">
            <w:pPr>
              <w:rPr>
                <w:szCs w:val="28"/>
              </w:rPr>
            </w:pPr>
            <w:r w:rsidRPr="00837008">
              <w:rPr>
                <w:szCs w:val="28"/>
              </w:rPr>
              <w:t xml:space="preserve">   Modulo  n°</w:t>
            </w:r>
          </w:p>
        </w:tc>
        <w:tc>
          <w:tcPr>
            <w:tcW w:w="637" w:type="dxa"/>
            <w:tcMar>
              <w:top w:w="0" w:type="dxa"/>
              <w:bottom w:w="0" w:type="dxa"/>
            </w:tcMar>
            <w:vAlign w:val="center"/>
          </w:tcPr>
          <w:p w14:paraId="27BC86C3" w14:textId="77777777" w:rsidR="001A49D9" w:rsidRPr="00837008" w:rsidRDefault="001A49D9" w:rsidP="001779AE">
            <w:pPr>
              <w:rPr>
                <w:b/>
                <w:sz w:val="40"/>
                <w:szCs w:val="40"/>
              </w:rPr>
            </w:pPr>
            <w:r w:rsidRPr="00837008">
              <w:rPr>
                <w:b/>
                <w:sz w:val="40"/>
                <w:szCs w:val="40"/>
              </w:rPr>
              <w:t>67</w:t>
            </w:r>
          </w:p>
        </w:tc>
        <w:tc>
          <w:tcPr>
            <w:tcW w:w="7130" w:type="dxa"/>
            <w:tcMar>
              <w:top w:w="0" w:type="dxa"/>
              <w:bottom w:w="0" w:type="dxa"/>
            </w:tcMar>
            <w:vAlign w:val="center"/>
          </w:tcPr>
          <w:p w14:paraId="32067B0D" w14:textId="77777777" w:rsidR="001A49D9" w:rsidRDefault="005733E9" w:rsidP="001779AE">
            <w:pPr>
              <w:jc w:val="center"/>
              <w:rPr>
                <w:b/>
                <w:i/>
                <w:szCs w:val="28"/>
              </w:rPr>
            </w:pPr>
            <w:r>
              <w:rPr>
                <w:b/>
                <w:i/>
                <w:szCs w:val="28"/>
              </w:rPr>
              <w:t>FRONTIERE, MURI, CARTE, MAPPE.</w:t>
            </w:r>
          </w:p>
          <w:p w14:paraId="638AD174" w14:textId="77777777" w:rsidR="005733E9" w:rsidRDefault="005733E9" w:rsidP="001779AE">
            <w:pPr>
              <w:jc w:val="center"/>
              <w:rPr>
                <w:b/>
                <w:i/>
                <w:szCs w:val="28"/>
              </w:rPr>
            </w:pPr>
            <w:r>
              <w:rPr>
                <w:b/>
                <w:i/>
                <w:szCs w:val="28"/>
              </w:rPr>
              <w:t xml:space="preserve">METAFORA DI ESCLUSIONE O PREMESSA </w:t>
            </w:r>
          </w:p>
          <w:p w14:paraId="0E93E3FF" w14:textId="517EC479" w:rsidR="005733E9" w:rsidRPr="00837008" w:rsidRDefault="005733E9" w:rsidP="001779AE">
            <w:pPr>
              <w:jc w:val="center"/>
              <w:rPr>
                <w:b/>
                <w:i/>
                <w:szCs w:val="28"/>
              </w:rPr>
            </w:pPr>
            <w:r>
              <w:rPr>
                <w:b/>
                <w:i/>
                <w:szCs w:val="28"/>
              </w:rPr>
              <w:t>DI INTEGRAZIONE?</w:t>
            </w:r>
          </w:p>
        </w:tc>
      </w:tr>
    </w:tbl>
    <w:p w14:paraId="0B5C0C0D" w14:textId="77777777" w:rsidR="001A49D9" w:rsidRPr="00837008" w:rsidRDefault="001A49D9" w:rsidP="001A49D9">
      <w:pPr>
        <w:rPr>
          <w:sz w:val="24"/>
        </w:rPr>
      </w:pPr>
    </w:p>
    <w:tbl>
      <w:tblPr>
        <w:tblW w:w="0" w:type="auto"/>
        <w:tblLook w:val="00A0" w:firstRow="1" w:lastRow="0" w:firstColumn="1" w:lastColumn="0" w:noHBand="0" w:noVBand="0"/>
      </w:tblPr>
      <w:tblGrid>
        <w:gridCol w:w="1728"/>
        <w:gridCol w:w="7910"/>
      </w:tblGrid>
      <w:tr w:rsidR="001A49D9" w:rsidRPr="00837008" w14:paraId="2EC4EDDD" w14:textId="77777777" w:rsidTr="001779AE">
        <w:trPr>
          <w:trHeight w:val="340"/>
        </w:trPr>
        <w:tc>
          <w:tcPr>
            <w:tcW w:w="1728" w:type="dxa"/>
          </w:tcPr>
          <w:p w14:paraId="654712AE" w14:textId="77777777" w:rsidR="001A49D9" w:rsidRPr="00837008" w:rsidRDefault="001A49D9" w:rsidP="001779AE">
            <w:pPr>
              <w:rPr>
                <w:b/>
                <w:sz w:val="22"/>
                <w:szCs w:val="22"/>
              </w:rPr>
            </w:pPr>
            <w:r w:rsidRPr="00837008">
              <w:rPr>
                <w:b/>
                <w:sz w:val="22"/>
                <w:szCs w:val="22"/>
              </w:rPr>
              <w:t>Docente</w:t>
            </w:r>
          </w:p>
        </w:tc>
        <w:tc>
          <w:tcPr>
            <w:tcW w:w="7910" w:type="dxa"/>
          </w:tcPr>
          <w:p w14:paraId="72A493BF" w14:textId="5A08AE71" w:rsidR="001A49D9" w:rsidRPr="00837008" w:rsidRDefault="005733E9" w:rsidP="001779AE">
            <w:pPr>
              <w:rPr>
                <w:sz w:val="22"/>
                <w:szCs w:val="22"/>
              </w:rPr>
            </w:pPr>
            <w:r>
              <w:rPr>
                <w:sz w:val="22"/>
                <w:szCs w:val="22"/>
              </w:rPr>
              <w:t>Andrea Giordano</w:t>
            </w:r>
          </w:p>
        </w:tc>
      </w:tr>
      <w:tr w:rsidR="001A49D9" w:rsidRPr="00837008" w14:paraId="5D885B87" w14:textId="77777777" w:rsidTr="001779AE">
        <w:trPr>
          <w:trHeight w:val="340"/>
        </w:trPr>
        <w:tc>
          <w:tcPr>
            <w:tcW w:w="1728" w:type="dxa"/>
          </w:tcPr>
          <w:p w14:paraId="53E60B47" w14:textId="77777777" w:rsidR="001A49D9" w:rsidRPr="00837008" w:rsidRDefault="001A49D9" w:rsidP="001779AE">
            <w:pPr>
              <w:rPr>
                <w:b/>
                <w:sz w:val="22"/>
                <w:szCs w:val="22"/>
              </w:rPr>
            </w:pPr>
            <w:r w:rsidRPr="00837008">
              <w:rPr>
                <w:b/>
                <w:sz w:val="22"/>
                <w:szCs w:val="22"/>
              </w:rPr>
              <w:t>Giorno</w:t>
            </w:r>
          </w:p>
        </w:tc>
        <w:tc>
          <w:tcPr>
            <w:tcW w:w="7910" w:type="dxa"/>
          </w:tcPr>
          <w:p w14:paraId="3B4B9463" w14:textId="77777777" w:rsidR="001A49D9" w:rsidRPr="00837008" w:rsidRDefault="001A49D9" w:rsidP="001779AE">
            <w:pPr>
              <w:rPr>
                <w:sz w:val="22"/>
                <w:szCs w:val="22"/>
              </w:rPr>
            </w:pPr>
            <w:r w:rsidRPr="00837008">
              <w:rPr>
                <w:sz w:val="22"/>
                <w:szCs w:val="22"/>
              </w:rPr>
              <w:t xml:space="preserve">Martedì   </w:t>
            </w:r>
          </w:p>
        </w:tc>
      </w:tr>
      <w:tr w:rsidR="001A49D9" w:rsidRPr="00837008" w14:paraId="3284ECEE" w14:textId="77777777" w:rsidTr="001779AE">
        <w:trPr>
          <w:trHeight w:val="340"/>
        </w:trPr>
        <w:tc>
          <w:tcPr>
            <w:tcW w:w="1728" w:type="dxa"/>
          </w:tcPr>
          <w:p w14:paraId="532C2169" w14:textId="77777777" w:rsidR="001A49D9" w:rsidRPr="00837008" w:rsidRDefault="001A49D9" w:rsidP="001779AE">
            <w:pPr>
              <w:rPr>
                <w:b/>
                <w:sz w:val="22"/>
                <w:szCs w:val="22"/>
              </w:rPr>
            </w:pPr>
            <w:r w:rsidRPr="00837008">
              <w:rPr>
                <w:b/>
                <w:sz w:val="22"/>
                <w:szCs w:val="22"/>
              </w:rPr>
              <w:t>Orario</w:t>
            </w:r>
          </w:p>
        </w:tc>
        <w:tc>
          <w:tcPr>
            <w:tcW w:w="7910" w:type="dxa"/>
          </w:tcPr>
          <w:p w14:paraId="5F0A8B0A" w14:textId="77777777" w:rsidR="001A49D9" w:rsidRPr="00837008" w:rsidRDefault="001A49D9" w:rsidP="001779AE">
            <w:pPr>
              <w:rPr>
                <w:sz w:val="22"/>
                <w:szCs w:val="22"/>
              </w:rPr>
            </w:pPr>
            <w:r w:rsidRPr="00837008">
              <w:rPr>
                <w:sz w:val="22"/>
                <w:szCs w:val="22"/>
              </w:rPr>
              <w:t>15.00 – 17.15</w:t>
            </w:r>
          </w:p>
        </w:tc>
      </w:tr>
      <w:tr w:rsidR="001A49D9" w:rsidRPr="00837008" w14:paraId="38008552" w14:textId="77777777" w:rsidTr="001779AE">
        <w:trPr>
          <w:trHeight w:val="340"/>
        </w:trPr>
        <w:tc>
          <w:tcPr>
            <w:tcW w:w="1728" w:type="dxa"/>
          </w:tcPr>
          <w:p w14:paraId="30822853" w14:textId="77777777" w:rsidR="001A49D9" w:rsidRPr="00837008" w:rsidRDefault="001A49D9" w:rsidP="001779AE">
            <w:pPr>
              <w:rPr>
                <w:b/>
                <w:sz w:val="22"/>
                <w:szCs w:val="22"/>
              </w:rPr>
            </w:pPr>
            <w:r w:rsidRPr="00837008">
              <w:rPr>
                <w:b/>
                <w:sz w:val="22"/>
                <w:szCs w:val="22"/>
              </w:rPr>
              <w:t>Periodo</w:t>
            </w:r>
          </w:p>
        </w:tc>
        <w:tc>
          <w:tcPr>
            <w:tcW w:w="7910" w:type="dxa"/>
          </w:tcPr>
          <w:p w14:paraId="0C51C508" w14:textId="2235A068" w:rsidR="001A49D9" w:rsidRPr="00837008" w:rsidRDefault="001A49D9" w:rsidP="001779AE">
            <w:pPr>
              <w:rPr>
                <w:sz w:val="22"/>
                <w:szCs w:val="22"/>
              </w:rPr>
            </w:pPr>
            <w:r w:rsidRPr="00837008">
              <w:rPr>
                <w:sz w:val="22"/>
                <w:szCs w:val="22"/>
              </w:rPr>
              <w:t>Dal 1</w:t>
            </w:r>
            <w:r w:rsidR="005733E9">
              <w:rPr>
                <w:sz w:val="22"/>
                <w:szCs w:val="22"/>
              </w:rPr>
              <w:t>5</w:t>
            </w:r>
            <w:r w:rsidRPr="00837008">
              <w:rPr>
                <w:sz w:val="22"/>
                <w:szCs w:val="22"/>
              </w:rPr>
              <w:t>.3.202</w:t>
            </w:r>
            <w:r w:rsidR="005733E9">
              <w:rPr>
                <w:sz w:val="22"/>
                <w:szCs w:val="22"/>
              </w:rPr>
              <w:t>2</w:t>
            </w:r>
            <w:r w:rsidRPr="00837008">
              <w:rPr>
                <w:sz w:val="22"/>
                <w:szCs w:val="22"/>
              </w:rPr>
              <w:t xml:space="preserve"> al </w:t>
            </w:r>
            <w:r w:rsidR="005733E9">
              <w:rPr>
                <w:sz w:val="22"/>
                <w:szCs w:val="22"/>
              </w:rPr>
              <w:t>24</w:t>
            </w:r>
            <w:r w:rsidRPr="00837008">
              <w:rPr>
                <w:sz w:val="22"/>
                <w:szCs w:val="22"/>
              </w:rPr>
              <w:t>.5.202</w:t>
            </w:r>
            <w:r w:rsidR="005733E9">
              <w:rPr>
                <w:sz w:val="22"/>
                <w:szCs w:val="22"/>
              </w:rPr>
              <w:t>2</w:t>
            </w:r>
          </w:p>
        </w:tc>
      </w:tr>
      <w:tr w:rsidR="001A49D9" w:rsidRPr="00837008" w14:paraId="2EAC663B" w14:textId="77777777" w:rsidTr="001779AE">
        <w:trPr>
          <w:trHeight w:val="340"/>
        </w:trPr>
        <w:tc>
          <w:tcPr>
            <w:tcW w:w="1728" w:type="dxa"/>
          </w:tcPr>
          <w:p w14:paraId="07076439" w14:textId="77777777" w:rsidR="001A49D9" w:rsidRPr="00837008" w:rsidRDefault="001A49D9" w:rsidP="001779AE">
            <w:pPr>
              <w:rPr>
                <w:b/>
                <w:sz w:val="22"/>
                <w:szCs w:val="22"/>
              </w:rPr>
            </w:pPr>
            <w:r w:rsidRPr="00837008">
              <w:rPr>
                <w:b/>
                <w:sz w:val="22"/>
                <w:szCs w:val="22"/>
              </w:rPr>
              <w:t>Sede</w:t>
            </w:r>
          </w:p>
        </w:tc>
        <w:tc>
          <w:tcPr>
            <w:tcW w:w="7910" w:type="dxa"/>
          </w:tcPr>
          <w:p w14:paraId="419C927C" w14:textId="29A0493F" w:rsidR="001A49D9" w:rsidRPr="00837008" w:rsidRDefault="005733E9" w:rsidP="001779AE">
            <w:pPr>
              <w:rPr>
                <w:sz w:val="22"/>
                <w:szCs w:val="22"/>
              </w:rPr>
            </w:pPr>
            <w:r>
              <w:rPr>
                <w:sz w:val="22"/>
                <w:szCs w:val="22"/>
              </w:rPr>
              <w:t>Mutuo Soccorso</w:t>
            </w:r>
            <w:r w:rsidR="001A49D9" w:rsidRPr="00837008">
              <w:rPr>
                <w:sz w:val="22"/>
                <w:szCs w:val="22"/>
              </w:rPr>
              <w:t xml:space="preserve"> (€ </w:t>
            </w:r>
            <w:r>
              <w:rPr>
                <w:sz w:val="22"/>
                <w:szCs w:val="22"/>
              </w:rPr>
              <w:t>40</w:t>
            </w:r>
            <w:r w:rsidR="001A49D9" w:rsidRPr="00837008">
              <w:rPr>
                <w:sz w:val="22"/>
                <w:szCs w:val="22"/>
              </w:rPr>
              <w:t>)</w:t>
            </w:r>
          </w:p>
        </w:tc>
      </w:tr>
      <w:tr w:rsidR="001A49D9" w:rsidRPr="00837008" w14:paraId="0FDBED8C" w14:textId="77777777" w:rsidTr="001779AE">
        <w:trPr>
          <w:trHeight w:val="340"/>
        </w:trPr>
        <w:tc>
          <w:tcPr>
            <w:tcW w:w="1728" w:type="dxa"/>
          </w:tcPr>
          <w:p w14:paraId="26DAAE57" w14:textId="77777777" w:rsidR="001A49D9" w:rsidRPr="00837008" w:rsidRDefault="001A49D9" w:rsidP="001779AE">
            <w:pPr>
              <w:rPr>
                <w:b/>
                <w:sz w:val="22"/>
                <w:szCs w:val="22"/>
              </w:rPr>
            </w:pPr>
            <w:r w:rsidRPr="00837008">
              <w:rPr>
                <w:b/>
                <w:sz w:val="22"/>
                <w:szCs w:val="22"/>
              </w:rPr>
              <w:t>Argomento</w:t>
            </w:r>
          </w:p>
        </w:tc>
        <w:tc>
          <w:tcPr>
            <w:tcW w:w="7910" w:type="dxa"/>
          </w:tcPr>
          <w:p w14:paraId="2E5F0F55" w14:textId="582C31AA" w:rsidR="001A49D9" w:rsidRPr="00837008" w:rsidRDefault="005733E9" w:rsidP="001779AE">
            <w:pPr>
              <w:rPr>
                <w:b/>
                <w:sz w:val="22"/>
                <w:szCs w:val="22"/>
              </w:rPr>
            </w:pPr>
            <w:r>
              <w:rPr>
                <w:b/>
                <w:sz w:val="22"/>
                <w:szCs w:val="22"/>
              </w:rPr>
              <w:t xml:space="preserve">Geopolitica </w:t>
            </w:r>
            <w:r w:rsidR="001A49D9" w:rsidRPr="00837008">
              <w:rPr>
                <w:sz w:val="22"/>
                <w:szCs w:val="22"/>
              </w:rPr>
              <w:t xml:space="preserve">(max. </w:t>
            </w:r>
            <w:r>
              <w:rPr>
                <w:sz w:val="22"/>
                <w:szCs w:val="22"/>
              </w:rPr>
              <w:t>55</w:t>
            </w:r>
            <w:r w:rsidR="001A49D9" w:rsidRPr="00837008">
              <w:rPr>
                <w:sz w:val="22"/>
                <w:szCs w:val="22"/>
              </w:rPr>
              <w:t xml:space="preserve">) </w:t>
            </w:r>
          </w:p>
        </w:tc>
      </w:tr>
      <w:tr w:rsidR="001A49D9" w:rsidRPr="00837008" w14:paraId="31A50A2E" w14:textId="77777777" w:rsidTr="001779AE">
        <w:trPr>
          <w:trHeight w:val="340"/>
        </w:trPr>
        <w:tc>
          <w:tcPr>
            <w:tcW w:w="1728" w:type="dxa"/>
          </w:tcPr>
          <w:p w14:paraId="0334DA25" w14:textId="77777777" w:rsidR="001A49D9" w:rsidRPr="00837008" w:rsidRDefault="001A49D9" w:rsidP="001779AE">
            <w:pPr>
              <w:rPr>
                <w:b/>
                <w:sz w:val="22"/>
                <w:szCs w:val="22"/>
              </w:rPr>
            </w:pPr>
            <w:r w:rsidRPr="00837008">
              <w:rPr>
                <w:b/>
                <w:sz w:val="22"/>
                <w:szCs w:val="22"/>
              </w:rPr>
              <w:t>Presentazione</w:t>
            </w:r>
          </w:p>
        </w:tc>
        <w:tc>
          <w:tcPr>
            <w:tcW w:w="7910" w:type="dxa"/>
          </w:tcPr>
          <w:p w14:paraId="14130A4E" w14:textId="098304F6" w:rsidR="005733E9" w:rsidRPr="005733E9" w:rsidRDefault="005733E9" w:rsidP="005733E9">
            <w:pPr>
              <w:jc w:val="both"/>
              <w:rPr>
                <w:rFonts w:cs="Arial"/>
                <w:b/>
                <w:i/>
                <w:iCs/>
                <w:sz w:val="20"/>
                <w:szCs w:val="20"/>
              </w:rPr>
            </w:pPr>
            <w:r w:rsidRPr="005733E9">
              <w:rPr>
                <w:rFonts w:cs="Arial"/>
                <w:i/>
                <w:iCs/>
                <w:sz w:val="20"/>
                <w:szCs w:val="20"/>
              </w:rPr>
              <w:t xml:space="preserve">Tracciare e difendere confini, erigere muri e barriere, descrivere un territorio mediante carte e mappe, rappresentano processi sociali ed azioni di cui, nel nostro complesso presente, vediamo numerosi esempi. Basti pensare alla costruzione del muro anti-immigrati tra USA e Messico, cavallo di battaglia dell’“America First”, o ancora alla barriera che dovrebbe difendere Israele dal terrorismo. Un’epoca meno recente è stata segnata dal muro per eccellenza, ferita dolorosa aperta nel corpo di Berlino, la cui caduta ha inaugurato quella che Francis Fukuyama ha definito “epoca della fine della storia”. Fin da quando la nostra specie ha in parte abbandonato il nomadismo, la divisione dello spazio e il tracciamento dei confini ha rappresentato la premessa indispensabile della relazione tra gruppi umani e spesso del conflitto tra gli stessi. Anche la rappresentazione della terra tramite le carte geografiche ha risposto all’esigenza di definire un confine: si tratta di un’azione di conoscenza, ma anche di legittimazione di conquiste e di esclusioni. Il percorso è finalizzato a fornire strumenti interpretativi a chi voglia capire perché, invece di sparire, nella globalizzazione i confini si sono trasformati in invalicabili muri. </w:t>
            </w:r>
          </w:p>
          <w:p w14:paraId="57A35FF4" w14:textId="77777777" w:rsidR="001A49D9" w:rsidRPr="00837008" w:rsidRDefault="001A49D9" w:rsidP="000F03CB">
            <w:pPr>
              <w:jc w:val="both"/>
              <w:rPr>
                <w:rFonts w:cs="Arial"/>
                <w:i/>
                <w:iCs/>
                <w:sz w:val="20"/>
                <w:szCs w:val="20"/>
              </w:rPr>
            </w:pPr>
          </w:p>
        </w:tc>
      </w:tr>
      <w:tr w:rsidR="001A49D9" w:rsidRPr="00837008" w14:paraId="177AF4AA" w14:textId="77777777" w:rsidTr="001779AE">
        <w:trPr>
          <w:trHeight w:val="340"/>
        </w:trPr>
        <w:tc>
          <w:tcPr>
            <w:tcW w:w="1728" w:type="dxa"/>
          </w:tcPr>
          <w:p w14:paraId="238447D3" w14:textId="77777777" w:rsidR="001A49D9" w:rsidRPr="00837008" w:rsidRDefault="001A49D9" w:rsidP="001779AE">
            <w:pPr>
              <w:rPr>
                <w:b/>
                <w:sz w:val="22"/>
                <w:szCs w:val="22"/>
              </w:rPr>
            </w:pPr>
            <w:r w:rsidRPr="00837008">
              <w:rPr>
                <w:b/>
                <w:sz w:val="22"/>
                <w:szCs w:val="22"/>
              </w:rPr>
              <w:t>Tutor</w:t>
            </w:r>
          </w:p>
        </w:tc>
        <w:tc>
          <w:tcPr>
            <w:tcW w:w="7910" w:type="dxa"/>
          </w:tcPr>
          <w:p w14:paraId="24C43D93" w14:textId="72EB08D3" w:rsidR="001A49D9" w:rsidRPr="0032361F" w:rsidRDefault="001A49D9" w:rsidP="001779AE">
            <w:pPr>
              <w:jc w:val="both"/>
              <w:rPr>
                <w:sz w:val="22"/>
                <w:szCs w:val="22"/>
              </w:rPr>
            </w:pPr>
          </w:p>
        </w:tc>
      </w:tr>
    </w:tbl>
    <w:p w14:paraId="670A3D0A" w14:textId="77777777" w:rsidR="001A49D9" w:rsidRPr="005733E9" w:rsidRDefault="001A49D9" w:rsidP="001A49D9">
      <w:pPr>
        <w:pStyle w:val="Titolo5"/>
        <w:rPr>
          <w:sz w:val="22"/>
          <w:szCs w:val="22"/>
        </w:rPr>
      </w:pPr>
      <w:r w:rsidRPr="005733E9">
        <w:rPr>
          <w:sz w:val="22"/>
          <w:szCs w:val="22"/>
        </w:rPr>
        <w:t xml:space="preserve">Calendario   </w:t>
      </w:r>
    </w:p>
    <w:p w14:paraId="0ED4A46B" w14:textId="77777777" w:rsidR="001A49D9" w:rsidRPr="00837008" w:rsidRDefault="001A49D9" w:rsidP="001A49D9">
      <w:pPr>
        <w:rPr>
          <w:sz w:val="16"/>
          <w:szCs w:val="16"/>
        </w:rPr>
      </w:pPr>
    </w:p>
    <w:tbl>
      <w:tblPr>
        <w:tblW w:w="9793" w:type="dxa"/>
        <w:tblLook w:val="00A0" w:firstRow="1" w:lastRow="0" w:firstColumn="1" w:lastColumn="0" w:noHBand="0" w:noVBand="0"/>
      </w:tblPr>
      <w:tblGrid>
        <w:gridCol w:w="483"/>
        <w:gridCol w:w="1502"/>
        <w:gridCol w:w="7808"/>
      </w:tblGrid>
      <w:tr w:rsidR="001A49D9" w:rsidRPr="00837008" w14:paraId="5A8E9CA3" w14:textId="77777777" w:rsidTr="001779AE">
        <w:trPr>
          <w:trHeight w:val="567"/>
        </w:trPr>
        <w:tc>
          <w:tcPr>
            <w:tcW w:w="483" w:type="dxa"/>
          </w:tcPr>
          <w:p w14:paraId="0EB4530C" w14:textId="77777777" w:rsidR="001A49D9" w:rsidRPr="00837008" w:rsidRDefault="001A49D9" w:rsidP="001779AE">
            <w:pPr>
              <w:jc w:val="right"/>
              <w:rPr>
                <w:b/>
                <w:sz w:val="24"/>
              </w:rPr>
            </w:pPr>
            <w:r w:rsidRPr="00837008">
              <w:rPr>
                <w:b/>
                <w:sz w:val="24"/>
              </w:rPr>
              <w:t>1</w:t>
            </w:r>
          </w:p>
        </w:tc>
        <w:tc>
          <w:tcPr>
            <w:tcW w:w="1502" w:type="dxa"/>
          </w:tcPr>
          <w:p w14:paraId="36E2B359" w14:textId="2DBB745F" w:rsidR="001A49D9" w:rsidRPr="00837008" w:rsidRDefault="005733E9" w:rsidP="001779AE">
            <w:pPr>
              <w:ind w:left="57"/>
              <w:rPr>
                <w:sz w:val="22"/>
                <w:szCs w:val="22"/>
              </w:rPr>
            </w:pPr>
            <w:r w:rsidRPr="00837008">
              <w:rPr>
                <w:sz w:val="22"/>
                <w:szCs w:val="22"/>
              </w:rPr>
              <w:t>1</w:t>
            </w:r>
            <w:r>
              <w:rPr>
                <w:sz w:val="22"/>
                <w:szCs w:val="22"/>
              </w:rPr>
              <w:t>5</w:t>
            </w:r>
            <w:r w:rsidRPr="00837008">
              <w:rPr>
                <w:sz w:val="22"/>
                <w:szCs w:val="22"/>
              </w:rPr>
              <w:t>.</w:t>
            </w:r>
            <w:r>
              <w:rPr>
                <w:sz w:val="22"/>
                <w:szCs w:val="22"/>
              </w:rPr>
              <w:t>0</w:t>
            </w:r>
            <w:r w:rsidRPr="00837008">
              <w:rPr>
                <w:sz w:val="22"/>
                <w:szCs w:val="22"/>
              </w:rPr>
              <w:t>3.202</w:t>
            </w:r>
            <w:r>
              <w:rPr>
                <w:sz w:val="22"/>
                <w:szCs w:val="22"/>
              </w:rPr>
              <w:t>2</w:t>
            </w:r>
          </w:p>
        </w:tc>
        <w:tc>
          <w:tcPr>
            <w:tcW w:w="7808" w:type="dxa"/>
          </w:tcPr>
          <w:p w14:paraId="173F22F9" w14:textId="77777777"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Introduzione al corso: finalità, obiettivi, argomenti.</w:t>
            </w:r>
          </w:p>
          <w:p w14:paraId="6C2D70AA" w14:textId="62800CC5"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Riflessione sulla relazione tra pandemia di Covid-19 e confini</w:t>
            </w:r>
          </w:p>
          <w:p w14:paraId="26480B2B" w14:textId="188FE47B" w:rsidR="00501241" w:rsidRPr="0069264C" w:rsidRDefault="005801DE" w:rsidP="00501241">
            <w:pPr>
              <w:widowControl w:val="0"/>
              <w:autoSpaceDE w:val="0"/>
              <w:autoSpaceDN w:val="0"/>
              <w:adjustRightInd w:val="0"/>
              <w:jc w:val="both"/>
              <w:rPr>
                <w:rFonts w:cs="Arial"/>
                <w:color w:val="000000"/>
                <w:sz w:val="20"/>
                <w:szCs w:val="20"/>
              </w:rPr>
            </w:pPr>
            <w:r>
              <w:rPr>
                <w:rFonts w:cs="Arial"/>
                <w:color w:val="000000"/>
                <w:sz w:val="20"/>
                <w:szCs w:val="20"/>
              </w:rPr>
              <w:t>T</w:t>
            </w:r>
            <w:r w:rsidR="00501241" w:rsidRPr="0069264C">
              <w:rPr>
                <w:rFonts w:cs="Arial"/>
                <w:color w:val="000000"/>
                <w:sz w:val="20"/>
                <w:szCs w:val="20"/>
              </w:rPr>
              <w:t>re casi emblematici della geopolitica del Covid: Italia, Unione Europea, Cina.</w:t>
            </w:r>
          </w:p>
          <w:p w14:paraId="2257CCEC" w14:textId="77777777" w:rsidR="001A49D9"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La geografia dell'incertezza nei suoi dispositivi generatori: confinamento-lockdown; luoghi che diventano spazi; confini collettivi ed individuali; la virtualizzazione abbatte i confini?</w:t>
            </w:r>
          </w:p>
          <w:p w14:paraId="32073BD1" w14:textId="500D1E7F" w:rsidR="001E2138" w:rsidRPr="001E2138" w:rsidRDefault="001E2138" w:rsidP="00501241">
            <w:pPr>
              <w:widowControl w:val="0"/>
              <w:autoSpaceDE w:val="0"/>
              <w:autoSpaceDN w:val="0"/>
              <w:adjustRightInd w:val="0"/>
              <w:jc w:val="both"/>
              <w:rPr>
                <w:rFonts w:cs="Arial"/>
                <w:color w:val="000000"/>
                <w:sz w:val="10"/>
                <w:szCs w:val="10"/>
              </w:rPr>
            </w:pPr>
          </w:p>
        </w:tc>
      </w:tr>
      <w:tr w:rsidR="005733E9" w:rsidRPr="00837008" w14:paraId="2F3A8CF1" w14:textId="77777777" w:rsidTr="001779AE">
        <w:trPr>
          <w:trHeight w:val="567"/>
        </w:trPr>
        <w:tc>
          <w:tcPr>
            <w:tcW w:w="483" w:type="dxa"/>
          </w:tcPr>
          <w:p w14:paraId="2C1BFFA5" w14:textId="77777777" w:rsidR="005733E9" w:rsidRPr="00837008" w:rsidRDefault="005733E9" w:rsidP="005733E9">
            <w:pPr>
              <w:jc w:val="right"/>
              <w:rPr>
                <w:b/>
                <w:sz w:val="24"/>
              </w:rPr>
            </w:pPr>
            <w:r w:rsidRPr="00837008">
              <w:rPr>
                <w:b/>
                <w:sz w:val="24"/>
              </w:rPr>
              <w:t>2</w:t>
            </w:r>
          </w:p>
        </w:tc>
        <w:tc>
          <w:tcPr>
            <w:tcW w:w="1502" w:type="dxa"/>
          </w:tcPr>
          <w:p w14:paraId="492B1C08" w14:textId="748CC476" w:rsidR="005733E9" w:rsidRPr="00837008" w:rsidRDefault="005733E9" w:rsidP="005733E9">
            <w:pPr>
              <w:ind w:left="57"/>
              <w:rPr>
                <w:sz w:val="22"/>
                <w:szCs w:val="22"/>
              </w:rPr>
            </w:pPr>
            <w:r>
              <w:rPr>
                <w:sz w:val="22"/>
                <w:szCs w:val="22"/>
              </w:rPr>
              <w:t>22</w:t>
            </w:r>
            <w:r w:rsidRPr="00562FDC">
              <w:rPr>
                <w:sz w:val="22"/>
                <w:szCs w:val="22"/>
              </w:rPr>
              <w:t>.03.2022</w:t>
            </w:r>
          </w:p>
        </w:tc>
        <w:tc>
          <w:tcPr>
            <w:tcW w:w="7808" w:type="dxa"/>
          </w:tcPr>
          <w:p w14:paraId="7ADA20DD" w14:textId="77777777" w:rsidR="005733E9"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Concetti fondamentali: confine, frontiera, limite, muro. I fondamenti della geografia del confine, della divisione, dell’inclusione e dell’esclusione, della costruzione di identità semplificate o complesse. La logica di Westfalia e dello stato nazionale versus la logica della globalizzazione. Confini distrutti e ricostruiti, muri distrutti ed edificati. Teicopolitica (politica dei muri) come politica delle barriere per escludere o proteggere</w:t>
            </w:r>
          </w:p>
          <w:p w14:paraId="15DF3680" w14:textId="1F116EF3" w:rsidR="001E2138" w:rsidRPr="001E2138" w:rsidRDefault="001E2138" w:rsidP="00501241">
            <w:pPr>
              <w:widowControl w:val="0"/>
              <w:autoSpaceDE w:val="0"/>
              <w:autoSpaceDN w:val="0"/>
              <w:adjustRightInd w:val="0"/>
              <w:jc w:val="both"/>
              <w:rPr>
                <w:rFonts w:cs="Arial"/>
                <w:color w:val="000000"/>
                <w:sz w:val="10"/>
                <w:szCs w:val="10"/>
              </w:rPr>
            </w:pPr>
          </w:p>
        </w:tc>
      </w:tr>
      <w:tr w:rsidR="005733E9" w:rsidRPr="00837008" w14:paraId="1F8BAA74" w14:textId="77777777" w:rsidTr="001779AE">
        <w:trPr>
          <w:trHeight w:val="567"/>
        </w:trPr>
        <w:tc>
          <w:tcPr>
            <w:tcW w:w="483" w:type="dxa"/>
          </w:tcPr>
          <w:p w14:paraId="743DB51E" w14:textId="77777777" w:rsidR="005733E9" w:rsidRPr="00837008" w:rsidRDefault="005733E9" w:rsidP="005733E9">
            <w:pPr>
              <w:jc w:val="right"/>
              <w:rPr>
                <w:b/>
                <w:sz w:val="24"/>
              </w:rPr>
            </w:pPr>
            <w:r w:rsidRPr="00837008">
              <w:rPr>
                <w:b/>
                <w:sz w:val="24"/>
              </w:rPr>
              <w:t>3</w:t>
            </w:r>
          </w:p>
        </w:tc>
        <w:tc>
          <w:tcPr>
            <w:tcW w:w="1502" w:type="dxa"/>
          </w:tcPr>
          <w:p w14:paraId="7E5A293F" w14:textId="6F613EE9" w:rsidR="005733E9" w:rsidRPr="00837008" w:rsidRDefault="005733E9" w:rsidP="005733E9">
            <w:pPr>
              <w:ind w:left="57"/>
              <w:rPr>
                <w:sz w:val="22"/>
                <w:szCs w:val="22"/>
              </w:rPr>
            </w:pPr>
            <w:r>
              <w:rPr>
                <w:sz w:val="22"/>
                <w:szCs w:val="22"/>
              </w:rPr>
              <w:t>29</w:t>
            </w:r>
            <w:r w:rsidRPr="00562FDC">
              <w:rPr>
                <w:sz w:val="22"/>
                <w:szCs w:val="22"/>
              </w:rPr>
              <w:t>.03.2022</w:t>
            </w:r>
          </w:p>
        </w:tc>
        <w:tc>
          <w:tcPr>
            <w:tcW w:w="7808" w:type="dxa"/>
          </w:tcPr>
          <w:p w14:paraId="64B11D35" w14:textId="77777777"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 xml:space="preserve">Filosofia dei confini e dei muri. </w:t>
            </w:r>
            <w:r>
              <w:rPr>
                <w:rFonts w:cs="Arial"/>
                <w:color w:val="000000"/>
                <w:sz w:val="20"/>
                <w:szCs w:val="20"/>
              </w:rPr>
              <w:t>I</w:t>
            </w:r>
            <w:r w:rsidRPr="0069264C">
              <w:rPr>
                <w:rFonts w:cs="Arial"/>
                <w:color w:val="000000"/>
                <w:sz w:val="20"/>
                <w:szCs w:val="20"/>
              </w:rPr>
              <w:t>l confine come strumento geopolitico e come dispositivo di potere; come si crea un confine-la ricerca di un modello; Searle, Rousseau e il concetto di origine del confine. Il confine come "dispositivo"; Foucalt.</w:t>
            </w:r>
          </w:p>
          <w:p w14:paraId="2E23450B" w14:textId="185895B9" w:rsidR="00501241" w:rsidRPr="0069264C" w:rsidRDefault="00501241" w:rsidP="00501241">
            <w:pPr>
              <w:widowControl w:val="0"/>
              <w:autoSpaceDE w:val="0"/>
              <w:autoSpaceDN w:val="0"/>
              <w:adjustRightInd w:val="0"/>
              <w:rPr>
                <w:rFonts w:cs="Arial"/>
                <w:color w:val="000000"/>
                <w:sz w:val="20"/>
                <w:szCs w:val="20"/>
              </w:rPr>
            </w:pPr>
            <w:r w:rsidRPr="0069264C">
              <w:rPr>
                <w:rFonts w:cs="Arial"/>
                <w:color w:val="000000"/>
                <w:sz w:val="20"/>
                <w:szCs w:val="20"/>
              </w:rPr>
              <w:t>La logica degli attraversamenti quotidiani e delle pratiche di cittadinanza come fondamento del concetto di confine.</w:t>
            </w:r>
            <w:r w:rsidRPr="0069264C">
              <w:rPr>
                <w:rFonts w:cs="Arial"/>
                <w:color w:val="000000"/>
                <w:sz w:val="20"/>
                <w:szCs w:val="20"/>
              </w:rPr>
              <w:br/>
              <w:t>Un modello storico dell'esclusione dello straniero: il ghetto di Venezia; la radice antisemita, le teorie complottiste: ebrei,</w:t>
            </w:r>
            <w:r>
              <w:rPr>
                <w:rFonts w:cs="Arial"/>
                <w:color w:val="000000"/>
                <w:sz w:val="20"/>
                <w:szCs w:val="20"/>
              </w:rPr>
              <w:t xml:space="preserve"> </w:t>
            </w:r>
            <w:r w:rsidRPr="0069264C">
              <w:rPr>
                <w:rFonts w:cs="Arial"/>
                <w:color w:val="000000"/>
                <w:sz w:val="20"/>
                <w:szCs w:val="20"/>
              </w:rPr>
              <w:t>lebbrosi, streghe; le "Pasque di sangue".</w:t>
            </w:r>
            <w:r>
              <w:rPr>
                <w:rFonts w:cs="Arial"/>
                <w:color w:val="000000"/>
                <w:sz w:val="20"/>
                <w:szCs w:val="20"/>
              </w:rPr>
              <w:t xml:space="preserve"> </w:t>
            </w:r>
            <w:r w:rsidRPr="0069264C">
              <w:rPr>
                <w:rFonts w:cs="Arial"/>
                <w:color w:val="000000"/>
                <w:sz w:val="20"/>
                <w:szCs w:val="20"/>
              </w:rPr>
              <w:t>Lo specifico del ghetto nelle sue complesse articolazioni urbanistiche, sociali, antropologiche.</w:t>
            </w:r>
          </w:p>
          <w:p w14:paraId="2FC4EF5A" w14:textId="77777777" w:rsidR="005733E9" w:rsidRDefault="00501241" w:rsidP="001E2138">
            <w:pPr>
              <w:widowControl w:val="0"/>
              <w:autoSpaceDE w:val="0"/>
              <w:autoSpaceDN w:val="0"/>
              <w:adjustRightInd w:val="0"/>
              <w:jc w:val="both"/>
              <w:rPr>
                <w:rFonts w:cs="Arial"/>
                <w:color w:val="000000"/>
                <w:sz w:val="20"/>
                <w:szCs w:val="20"/>
              </w:rPr>
            </w:pPr>
            <w:r w:rsidRPr="0069264C">
              <w:rPr>
                <w:rFonts w:cs="Arial"/>
                <w:color w:val="000000"/>
                <w:sz w:val="20"/>
                <w:szCs w:val="20"/>
              </w:rPr>
              <w:t>Un dispositivo per la nullificazione: i ghetti polacchi e il ghetto di Varsavia</w:t>
            </w:r>
          </w:p>
          <w:p w14:paraId="63ED3EB6" w14:textId="1D2BAE28" w:rsidR="001E2138" w:rsidRPr="001E2138" w:rsidRDefault="001E2138" w:rsidP="001E2138">
            <w:pPr>
              <w:widowControl w:val="0"/>
              <w:autoSpaceDE w:val="0"/>
              <w:autoSpaceDN w:val="0"/>
              <w:adjustRightInd w:val="0"/>
              <w:jc w:val="both"/>
              <w:rPr>
                <w:rFonts w:cs="Arial"/>
                <w:color w:val="000000"/>
                <w:sz w:val="10"/>
                <w:szCs w:val="10"/>
              </w:rPr>
            </w:pPr>
          </w:p>
        </w:tc>
      </w:tr>
      <w:tr w:rsidR="001A49D9" w:rsidRPr="00837008" w14:paraId="4FEED8DB" w14:textId="77777777" w:rsidTr="001779AE">
        <w:trPr>
          <w:trHeight w:val="567"/>
        </w:trPr>
        <w:tc>
          <w:tcPr>
            <w:tcW w:w="483" w:type="dxa"/>
          </w:tcPr>
          <w:p w14:paraId="4C16F1EA" w14:textId="52B61453" w:rsidR="001A49D9" w:rsidRPr="00837008" w:rsidRDefault="001A49D9" w:rsidP="001779AE">
            <w:pPr>
              <w:jc w:val="right"/>
              <w:rPr>
                <w:b/>
                <w:sz w:val="24"/>
              </w:rPr>
            </w:pPr>
          </w:p>
        </w:tc>
        <w:tc>
          <w:tcPr>
            <w:tcW w:w="1502" w:type="dxa"/>
          </w:tcPr>
          <w:p w14:paraId="274B8CAE" w14:textId="00D3A6E3" w:rsidR="001A49D9" w:rsidRPr="00837008" w:rsidRDefault="001A49D9" w:rsidP="001779AE">
            <w:pPr>
              <w:ind w:left="57"/>
              <w:rPr>
                <w:sz w:val="22"/>
                <w:szCs w:val="22"/>
              </w:rPr>
            </w:pPr>
          </w:p>
        </w:tc>
        <w:tc>
          <w:tcPr>
            <w:tcW w:w="7808" w:type="dxa"/>
          </w:tcPr>
          <w:p w14:paraId="3BC44B01" w14:textId="77777777" w:rsidR="001A49D9" w:rsidRDefault="001A49D9" w:rsidP="00501241">
            <w:pPr>
              <w:jc w:val="both"/>
              <w:rPr>
                <w:rFonts w:cs="Arial"/>
                <w:sz w:val="22"/>
                <w:szCs w:val="22"/>
              </w:rPr>
            </w:pPr>
          </w:p>
          <w:p w14:paraId="27AADDD4" w14:textId="77777777" w:rsidR="001E2138" w:rsidRDefault="001E2138" w:rsidP="00501241">
            <w:pPr>
              <w:jc w:val="both"/>
              <w:rPr>
                <w:rFonts w:cs="Arial"/>
                <w:sz w:val="22"/>
                <w:szCs w:val="22"/>
              </w:rPr>
            </w:pPr>
          </w:p>
          <w:p w14:paraId="421FC82B" w14:textId="77777777" w:rsidR="001E2138" w:rsidRDefault="001E2138" w:rsidP="00501241">
            <w:pPr>
              <w:jc w:val="both"/>
              <w:rPr>
                <w:rFonts w:cs="Arial"/>
                <w:sz w:val="22"/>
                <w:szCs w:val="22"/>
              </w:rPr>
            </w:pPr>
          </w:p>
          <w:p w14:paraId="68858009" w14:textId="2F7858AB" w:rsidR="001E2138" w:rsidRDefault="001E2138" w:rsidP="00501241">
            <w:pPr>
              <w:jc w:val="both"/>
              <w:rPr>
                <w:rFonts w:cs="Arial"/>
                <w:sz w:val="22"/>
                <w:szCs w:val="22"/>
              </w:rPr>
            </w:pPr>
          </w:p>
          <w:p w14:paraId="36EE5770" w14:textId="77777777" w:rsidR="001E2138" w:rsidRDefault="001E2138" w:rsidP="00501241">
            <w:pPr>
              <w:jc w:val="both"/>
              <w:rPr>
                <w:rFonts w:cs="Arial"/>
                <w:sz w:val="22"/>
                <w:szCs w:val="22"/>
              </w:rPr>
            </w:pPr>
          </w:p>
          <w:p w14:paraId="1860AD8E" w14:textId="584EF7CE" w:rsidR="001E2138" w:rsidRPr="00837008" w:rsidRDefault="001E2138" w:rsidP="00501241">
            <w:pPr>
              <w:jc w:val="both"/>
              <w:rPr>
                <w:rFonts w:cs="Arial"/>
                <w:sz w:val="22"/>
                <w:szCs w:val="22"/>
              </w:rPr>
            </w:pPr>
          </w:p>
        </w:tc>
      </w:tr>
      <w:tr w:rsidR="00501241" w:rsidRPr="00837008" w14:paraId="2BD7B761" w14:textId="77777777" w:rsidTr="001779AE">
        <w:trPr>
          <w:trHeight w:val="567"/>
        </w:trPr>
        <w:tc>
          <w:tcPr>
            <w:tcW w:w="483" w:type="dxa"/>
          </w:tcPr>
          <w:p w14:paraId="19023336" w14:textId="1C58A52F" w:rsidR="00501241" w:rsidRPr="00837008" w:rsidRDefault="00501241" w:rsidP="00501241">
            <w:pPr>
              <w:jc w:val="right"/>
              <w:rPr>
                <w:b/>
                <w:sz w:val="24"/>
              </w:rPr>
            </w:pPr>
            <w:r w:rsidRPr="00837008">
              <w:rPr>
                <w:b/>
                <w:sz w:val="24"/>
              </w:rPr>
              <w:lastRenderedPageBreak/>
              <w:t>4</w:t>
            </w:r>
          </w:p>
        </w:tc>
        <w:tc>
          <w:tcPr>
            <w:tcW w:w="1502" w:type="dxa"/>
          </w:tcPr>
          <w:p w14:paraId="04735671" w14:textId="0FC5BA31" w:rsidR="00501241" w:rsidRPr="00837008" w:rsidRDefault="00501241" w:rsidP="00501241">
            <w:pPr>
              <w:ind w:left="57"/>
              <w:rPr>
                <w:sz w:val="22"/>
                <w:szCs w:val="22"/>
              </w:rPr>
            </w:pPr>
            <w:r>
              <w:rPr>
                <w:sz w:val="22"/>
                <w:szCs w:val="22"/>
              </w:rPr>
              <w:t>05</w:t>
            </w:r>
            <w:r w:rsidRPr="00837008">
              <w:rPr>
                <w:sz w:val="22"/>
                <w:szCs w:val="22"/>
              </w:rPr>
              <w:t>.0</w:t>
            </w:r>
            <w:r>
              <w:rPr>
                <w:sz w:val="22"/>
                <w:szCs w:val="22"/>
              </w:rPr>
              <w:t>4</w:t>
            </w:r>
            <w:r w:rsidRPr="00837008">
              <w:rPr>
                <w:sz w:val="22"/>
                <w:szCs w:val="22"/>
              </w:rPr>
              <w:t>.2020</w:t>
            </w:r>
          </w:p>
        </w:tc>
        <w:tc>
          <w:tcPr>
            <w:tcW w:w="7808" w:type="dxa"/>
          </w:tcPr>
          <w:p w14:paraId="6BDA2341" w14:textId="77777777"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Per una storia dei confini con particolare attenzione ai confini storici della Lombardia e dell'Italia.</w:t>
            </w:r>
          </w:p>
          <w:p w14:paraId="2A8752F3" w14:textId="77777777"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Casi esemplari: la Venezia Giulia e l'Alto Adriatico, un confine difficile da definire; Nizza e Savoia.</w:t>
            </w:r>
          </w:p>
          <w:p w14:paraId="24860221" w14:textId="77777777"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Studio di caso: il dissidio italo-svizzero sul confine dell'Alpe di Claivarola.</w:t>
            </w:r>
          </w:p>
          <w:p w14:paraId="2F240783" w14:textId="77777777" w:rsidR="00501241" w:rsidRDefault="00501241" w:rsidP="001E2138">
            <w:pPr>
              <w:widowControl w:val="0"/>
              <w:autoSpaceDE w:val="0"/>
              <w:autoSpaceDN w:val="0"/>
              <w:adjustRightInd w:val="0"/>
              <w:jc w:val="both"/>
              <w:rPr>
                <w:rFonts w:cs="Arial"/>
                <w:color w:val="000000"/>
                <w:sz w:val="20"/>
                <w:szCs w:val="20"/>
              </w:rPr>
            </w:pPr>
            <w:r w:rsidRPr="0069264C">
              <w:rPr>
                <w:rFonts w:cs="Arial"/>
                <w:color w:val="000000"/>
                <w:sz w:val="20"/>
                <w:szCs w:val="20"/>
              </w:rPr>
              <w:t>Studio di caso: la diatriba geografica sul confine naturale italiano</w:t>
            </w:r>
          </w:p>
          <w:p w14:paraId="57C7ECE3" w14:textId="112AB9BB" w:rsidR="001E2138" w:rsidRPr="001E2138" w:rsidRDefault="001E2138" w:rsidP="001E2138">
            <w:pPr>
              <w:widowControl w:val="0"/>
              <w:autoSpaceDE w:val="0"/>
              <w:autoSpaceDN w:val="0"/>
              <w:adjustRightInd w:val="0"/>
              <w:jc w:val="both"/>
              <w:rPr>
                <w:rFonts w:cs="Arial"/>
                <w:color w:val="000000"/>
                <w:sz w:val="10"/>
                <w:szCs w:val="10"/>
              </w:rPr>
            </w:pPr>
          </w:p>
        </w:tc>
      </w:tr>
      <w:tr w:rsidR="00501241" w:rsidRPr="00837008" w14:paraId="76F5158B" w14:textId="77777777" w:rsidTr="001779AE">
        <w:trPr>
          <w:trHeight w:val="567"/>
        </w:trPr>
        <w:tc>
          <w:tcPr>
            <w:tcW w:w="483" w:type="dxa"/>
          </w:tcPr>
          <w:p w14:paraId="0DA2C1D5" w14:textId="776F6733" w:rsidR="00501241" w:rsidRPr="00837008" w:rsidRDefault="00501241" w:rsidP="00501241">
            <w:pPr>
              <w:jc w:val="right"/>
              <w:rPr>
                <w:b/>
                <w:sz w:val="24"/>
              </w:rPr>
            </w:pPr>
            <w:r w:rsidRPr="00837008">
              <w:rPr>
                <w:b/>
                <w:sz w:val="24"/>
              </w:rPr>
              <w:t>5</w:t>
            </w:r>
          </w:p>
        </w:tc>
        <w:tc>
          <w:tcPr>
            <w:tcW w:w="1502" w:type="dxa"/>
          </w:tcPr>
          <w:p w14:paraId="37F2C7B2" w14:textId="07D6F4E9" w:rsidR="00501241" w:rsidRPr="00837008" w:rsidRDefault="00501241" w:rsidP="00501241">
            <w:pPr>
              <w:ind w:left="57"/>
              <w:rPr>
                <w:sz w:val="22"/>
                <w:szCs w:val="22"/>
              </w:rPr>
            </w:pPr>
            <w:r>
              <w:rPr>
                <w:sz w:val="22"/>
                <w:szCs w:val="22"/>
              </w:rPr>
              <w:t>12</w:t>
            </w:r>
            <w:r w:rsidRPr="008D1C46">
              <w:rPr>
                <w:sz w:val="22"/>
                <w:szCs w:val="22"/>
              </w:rPr>
              <w:t>.04.2020</w:t>
            </w:r>
          </w:p>
        </w:tc>
        <w:tc>
          <w:tcPr>
            <w:tcW w:w="7808" w:type="dxa"/>
          </w:tcPr>
          <w:p w14:paraId="118ADF95" w14:textId="77777777" w:rsidR="00501241" w:rsidRDefault="00501241" w:rsidP="001E2138">
            <w:pPr>
              <w:widowControl w:val="0"/>
              <w:autoSpaceDE w:val="0"/>
              <w:autoSpaceDN w:val="0"/>
              <w:adjustRightInd w:val="0"/>
              <w:jc w:val="both"/>
              <w:rPr>
                <w:rFonts w:cs="Arial"/>
                <w:color w:val="000000"/>
                <w:sz w:val="20"/>
                <w:szCs w:val="20"/>
              </w:rPr>
            </w:pPr>
            <w:r w:rsidRPr="0069264C">
              <w:rPr>
                <w:rFonts w:cs="Arial"/>
                <w:color w:val="000000"/>
                <w:sz w:val="20"/>
                <w:szCs w:val="20"/>
              </w:rPr>
              <w:t>Romolo, Remo, Roma: un fratricidio alle origini del conflitto sui confini. Mura storiche: organizzare lo spazio, difendersi, sacralizzare; il pomerium; la muraglia cinese ed il vallo di Adriano. Per un’antropologia del confine: le lettere di Vindolanda</w:t>
            </w:r>
          </w:p>
          <w:p w14:paraId="77E3BDCB" w14:textId="1B89D3B1" w:rsidR="001E2138" w:rsidRPr="001E2138" w:rsidRDefault="001E2138" w:rsidP="001E2138">
            <w:pPr>
              <w:widowControl w:val="0"/>
              <w:autoSpaceDE w:val="0"/>
              <w:autoSpaceDN w:val="0"/>
              <w:adjustRightInd w:val="0"/>
              <w:jc w:val="both"/>
              <w:rPr>
                <w:rFonts w:cs="Arial"/>
                <w:color w:val="000000"/>
                <w:sz w:val="10"/>
                <w:szCs w:val="10"/>
              </w:rPr>
            </w:pPr>
          </w:p>
        </w:tc>
      </w:tr>
      <w:tr w:rsidR="00501241" w:rsidRPr="001E2138" w14:paraId="6051A347" w14:textId="77777777" w:rsidTr="001779AE">
        <w:trPr>
          <w:trHeight w:val="567"/>
        </w:trPr>
        <w:tc>
          <w:tcPr>
            <w:tcW w:w="483" w:type="dxa"/>
          </w:tcPr>
          <w:p w14:paraId="33487EFE" w14:textId="145052E3" w:rsidR="00501241" w:rsidRPr="00837008" w:rsidRDefault="00501241" w:rsidP="00501241">
            <w:pPr>
              <w:jc w:val="right"/>
              <w:rPr>
                <w:b/>
                <w:sz w:val="24"/>
              </w:rPr>
            </w:pPr>
            <w:r w:rsidRPr="00837008">
              <w:rPr>
                <w:b/>
                <w:sz w:val="24"/>
              </w:rPr>
              <w:t>6</w:t>
            </w:r>
          </w:p>
        </w:tc>
        <w:tc>
          <w:tcPr>
            <w:tcW w:w="1502" w:type="dxa"/>
          </w:tcPr>
          <w:p w14:paraId="7F3C95BC" w14:textId="68888BAE" w:rsidR="00501241" w:rsidRPr="00837008" w:rsidRDefault="00501241" w:rsidP="00501241">
            <w:pPr>
              <w:ind w:left="57"/>
              <w:rPr>
                <w:sz w:val="22"/>
                <w:szCs w:val="22"/>
              </w:rPr>
            </w:pPr>
            <w:r>
              <w:rPr>
                <w:sz w:val="22"/>
                <w:szCs w:val="22"/>
              </w:rPr>
              <w:t>26</w:t>
            </w:r>
            <w:r w:rsidRPr="008D1C46">
              <w:rPr>
                <w:sz w:val="22"/>
                <w:szCs w:val="22"/>
              </w:rPr>
              <w:t>.04.2020</w:t>
            </w:r>
          </w:p>
        </w:tc>
        <w:tc>
          <w:tcPr>
            <w:tcW w:w="7808" w:type="dxa"/>
          </w:tcPr>
          <w:p w14:paraId="116E487E" w14:textId="0FDE02C3" w:rsidR="00501241" w:rsidRPr="0069264C" w:rsidRDefault="001E2138" w:rsidP="00501241">
            <w:pPr>
              <w:widowControl w:val="0"/>
              <w:autoSpaceDE w:val="0"/>
              <w:autoSpaceDN w:val="0"/>
              <w:adjustRightInd w:val="0"/>
              <w:jc w:val="both"/>
              <w:rPr>
                <w:rFonts w:cs="Arial"/>
                <w:color w:val="000000"/>
                <w:sz w:val="20"/>
                <w:szCs w:val="20"/>
              </w:rPr>
            </w:pPr>
            <w:r>
              <w:rPr>
                <w:rFonts w:cs="Arial"/>
                <w:color w:val="000000"/>
                <w:sz w:val="20"/>
                <w:szCs w:val="20"/>
              </w:rPr>
              <w:t>T</w:t>
            </w:r>
            <w:r w:rsidR="00501241" w:rsidRPr="0069264C">
              <w:rPr>
                <w:rFonts w:cs="Arial"/>
                <w:color w:val="000000"/>
                <w:sz w:val="20"/>
                <w:szCs w:val="20"/>
              </w:rPr>
              <w:t>racciare confini. Casi storici esemplari di strutturazione dei confini:</w:t>
            </w:r>
          </w:p>
          <w:p w14:paraId="4EDFBD53" w14:textId="531CA2CB"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w:t>
            </w:r>
            <w:r w:rsidR="001E2138">
              <w:rPr>
                <w:rFonts w:cs="Arial"/>
                <w:color w:val="000000"/>
                <w:sz w:val="20"/>
                <w:szCs w:val="20"/>
              </w:rPr>
              <w:t xml:space="preserve"> </w:t>
            </w:r>
            <w:r w:rsidRPr="0069264C">
              <w:rPr>
                <w:rFonts w:cs="Arial"/>
                <w:color w:val="000000"/>
                <w:sz w:val="20"/>
                <w:szCs w:val="20"/>
              </w:rPr>
              <w:t>La Centuriazione romana</w:t>
            </w:r>
          </w:p>
          <w:p w14:paraId="786EF1CA" w14:textId="39827259" w:rsidR="00501241" w:rsidRPr="005801DE" w:rsidRDefault="00501241" w:rsidP="00501241">
            <w:pPr>
              <w:widowControl w:val="0"/>
              <w:autoSpaceDE w:val="0"/>
              <w:autoSpaceDN w:val="0"/>
              <w:adjustRightInd w:val="0"/>
              <w:jc w:val="both"/>
              <w:rPr>
                <w:rFonts w:cs="Arial"/>
                <w:color w:val="000000"/>
                <w:sz w:val="20"/>
                <w:szCs w:val="20"/>
              </w:rPr>
            </w:pPr>
            <w:r w:rsidRPr="005801DE">
              <w:rPr>
                <w:rFonts w:cs="Arial"/>
                <w:color w:val="000000"/>
                <w:sz w:val="20"/>
                <w:szCs w:val="20"/>
              </w:rPr>
              <w:t>-</w:t>
            </w:r>
            <w:r w:rsidR="001E2138" w:rsidRPr="005801DE">
              <w:rPr>
                <w:rFonts w:cs="Arial"/>
                <w:color w:val="000000"/>
                <w:sz w:val="20"/>
                <w:szCs w:val="20"/>
              </w:rPr>
              <w:t xml:space="preserve"> Lo </w:t>
            </w:r>
            <w:r w:rsidRPr="005801DE">
              <w:rPr>
                <w:rFonts w:cs="Arial"/>
                <w:color w:val="000000"/>
                <w:sz w:val="20"/>
                <w:szCs w:val="20"/>
              </w:rPr>
              <w:t>Zoning</w:t>
            </w:r>
          </w:p>
          <w:p w14:paraId="533ECE03" w14:textId="4DDA7025" w:rsidR="00501241" w:rsidRPr="005801DE" w:rsidRDefault="00501241" w:rsidP="00501241">
            <w:pPr>
              <w:widowControl w:val="0"/>
              <w:autoSpaceDE w:val="0"/>
              <w:autoSpaceDN w:val="0"/>
              <w:adjustRightInd w:val="0"/>
              <w:jc w:val="both"/>
              <w:rPr>
                <w:rFonts w:cs="Arial"/>
                <w:color w:val="000000"/>
                <w:sz w:val="20"/>
                <w:szCs w:val="20"/>
              </w:rPr>
            </w:pPr>
            <w:r w:rsidRPr="005801DE">
              <w:rPr>
                <w:rFonts w:cs="Arial"/>
                <w:color w:val="000000"/>
                <w:sz w:val="20"/>
                <w:szCs w:val="20"/>
              </w:rPr>
              <w:t>-</w:t>
            </w:r>
            <w:r w:rsidR="001E2138" w:rsidRPr="005801DE">
              <w:rPr>
                <w:rFonts w:cs="Arial"/>
                <w:color w:val="000000"/>
                <w:sz w:val="20"/>
                <w:szCs w:val="20"/>
              </w:rPr>
              <w:t xml:space="preserve"> I</w:t>
            </w:r>
            <w:r w:rsidRPr="005801DE">
              <w:rPr>
                <w:rFonts w:cs="Arial"/>
                <w:color w:val="000000"/>
                <w:sz w:val="20"/>
                <w:szCs w:val="20"/>
              </w:rPr>
              <w:t>l Boundary Making</w:t>
            </w:r>
          </w:p>
          <w:p w14:paraId="524947BB" w14:textId="30451A4D" w:rsidR="00501241" w:rsidRPr="005801DE" w:rsidRDefault="00501241" w:rsidP="00501241">
            <w:pPr>
              <w:jc w:val="both"/>
              <w:rPr>
                <w:rFonts w:cs="Arial"/>
                <w:sz w:val="10"/>
                <w:szCs w:val="10"/>
              </w:rPr>
            </w:pPr>
          </w:p>
        </w:tc>
      </w:tr>
      <w:tr w:rsidR="00501241" w:rsidRPr="00837008" w14:paraId="53A24372" w14:textId="77777777" w:rsidTr="001779AE">
        <w:trPr>
          <w:trHeight w:val="567"/>
        </w:trPr>
        <w:tc>
          <w:tcPr>
            <w:tcW w:w="483" w:type="dxa"/>
          </w:tcPr>
          <w:p w14:paraId="36F1CC89" w14:textId="55E4392F" w:rsidR="00501241" w:rsidRPr="00837008" w:rsidRDefault="00501241" w:rsidP="00501241">
            <w:pPr>
              <w:jc w:val="right"/>
              <w:rPr>
                <w:b/>
                <w:sz w:val="24"/>
              </w:rPr>
            </w:pPr>
            <w:r w:rsidRPr="00837008">
              <w:rPr>
                <w:b/>
                <w:sz w:val="24"/>
              </w:rPr>
              <w:t>7</w:t>
            </w:r>
          </w:p>
        </w:tc>
        <w:tc>
          <w:tcPr>
            <w:tcW w:w="1502" w:type="dxa"/>
          </w:tcPr>
          <w:p w14:paraId="75407344" w14:textId="2F72974B" w:rsidR="00501241" w:rsidRPr="00837008" w:rsidRDefault="00501241" w:rsidP="00501241">
            <w:pPr>
              <w:ind w:left="57"/>
              <w:rPr>
                <w:sz w:val="22"/>
                <w:szCs w:val="22"/>
              </w:rPr>
            </w:pPr>
            <w:r>
              <w:rPr>
                <w:sz w:val="22"/>
                <w:szCs w:val="22"/>
              </w:rPr>
              <w:t>03</w:t>
            </w:r>
            <w:r w:rsidRPr="00837008">
              <w:rPr>
                <w:sz w:val="22"/>
                <w:szCs w:val="22"/>
              </w:rPr>
              <w:t>.0</w:t>
            </w:r>
            <w:r>
              <w:rPr>
                <w:sz w:val="22"/>
                <w:szCs w:val="22"/>
              </w:rPr>
              <w:t>5</w:t>
            </w:r>
            <w:r w:rsidRPr="00837008">
              <w:rPr>
                <w:sz w:val="22"/>
                <w:szCs w:val="22"/>
              </w:rPr>
              <w:t>.202</w:t>
            </w:r>
            <w:r>
              <w:rPr>
                <w:sz w:val="22"/>
                <w:szCs w:val="22"/>
              </w:rPr>
              <w:t>2</w:t>
            </w:r>
          </w:p>
        </w:tc>
        <w:tc>
          <w:tcPr>
            <w:tcW w:w="7808" w:type="dxa"/>
          </w:tcPr>
          <w:p w14:paraId="7D5DE40D" w14:textId="5C6AACCF"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 xml:space="preserve">Come si traccia un confine. Alle origini del conflitto tra India e Pakistan. La guerra dimenticata: il Kashmir; Il confronto Cina-india-Pakistan: siamo alle soglie di un </w:t>
            </w:r>
            <w:r w:rsidR="001E2138" w:rsidRPr="0069264C">
              <w:rPr>
                <w:rFonts w:cs="Arial"/>
                <w:color w:val="000000"/>
                <w:sz w:val="20"/>
                <w:szCs w:val="20"/>
              </w:rPr>
              <w:t>conflitto?</w:t>
            </w:r>
            <w:r w:rsidRPr="0069264C">
              <w:rPr>
                <w:rFonts w:cs="Arial"/>
                <w:color w:val="000000"/>
                <w:sz w:val="20"/>
                <w:szCs w:val="20"/>
              </w:rPr>
              <w:t xml:space="preserve"> </w:t>
            </w:r>
            <w:r w:rsidR="001E2138">
              <w:rPr>
                <w:rFonts w:cs="Arial"/>
                <w:color w:val="000000"/>
                <w:sz w:val="20"/>
                <w:szCs w:val="20"/>
              </w:rPr>
              <w:t>I</w:t>
            </w:r>
            <w:r w:rsidRPr="0069264C">
              <w:rPr>
                <w:rFonts w:cs="Arial"/>
                <w:color w:val="000000"/>
                <w:sz w:val="20"/>
                <w:szCs w:val="20"/>
              </w:rPr>
              <w:t>l secessionismo e il problema Bangladesh</w:t>
            </w:r>
          </w:p>
          <w:p w14:paraId="4492ED31" w14:textId="660EDB0E" w:rsidR="00501241" w:rsidRPr="001E2138" w:rsidRDefault="00501241" w:rsidP="00501241">
            <w:pPr>
              <w:jc w:val="both"/>
              <w:rPr>
                <w:rFonts w:cs="Arial"/>
                <w:sz w:val="10"/>
                <w:szCs w:val="10"/>
              </w:rPr>
            </w:pPr>
          </w:p>
        </w:tc>
      </w:tr>
      <w:tr w:rsidR="00501241" w:rsidRPr="00837008" w14:paraId="3E0A772A" w14:textId="77777777" w:rsidTr="001779AE">
        <w:trPr>
          <w:trHeight w:val="567"/>
        </w:trPr>
        <w:tc>
          <w:tcPr>
            <w:tcW w:w="483" w:type="dxa"/>
          </w:tcPr>
          <w:p w14:paraId="130253AB" w14:textId="0692A818" w:rsidR="00501241" w:rsidRPr="00837008" w:rsidRDefault="00501241" w:rsidP="00501241">
            <w:pPr>
              <w:jc w:val="right"/>
              <w:rPr>
                <w:b/>
                <w:sz w:val="24"/>
              </w:rPr>
            </w:pPr>
            <w:r w:rsidRPr="00837008">
              <w:rPr>
                <w:b/>
                <w:sz w:val="24"/>
              </w:rPr>
              <w:t>8</w:t>
            </w:r>
          </w:p>
        </w:tc>
        <w:tc>
          <w:tcPr>
            <w:tcW w:w="1502" w:type="dxa"/>
          </w:tcPr>
          <w:p w14:paraId="5B508622" w14:textId="434764D4" w:rsidR="00501241" w:rsidRPr="00837008" w:rsidRDefault="00501241" w:rsidP="00501241">
            <w:pPr>
              <w:ind w:left="57"/>
              <w:rPr>
                <w:sz w:val="22"/>
                <w:szCs w:val="22"/>
              </w:rPr>
            </w:pPr>
            <w:r>
              <w:rPr>
                <w:sz w:val="22"/>
                <w:szCs w:val="22"/>
              </w:rPr>
              <w:t>10</w:t>
            </w:r>
            <w:r w:rsidRPr="006630CC">
              <w:rPr>
                <w:sz w:val="22"/>
                <w:szCs w:val="22"/>
              </w:rPr>
              <w:t>.05.2022</w:t>
            </w:r>
          </w:p>
        </w:tc>
        <w:tc>
          <w:tcPr>
            <w:tcW w:w="7808" w:type="dxa"/>
          </w:tcPr>
          <w:p w14:paraId="3B36BD57" w14:textId="60A4C6D4" w:rsidR="00501241" w:rsidRPr="001E2138" w:rsidRDefault="00501241" w:rsidP="00501241">
            <w:pPr>
              <w:jc w:val="both"/>
              <w:rPr>
                <w:rFonts w:cs="Arial"/>
                <w:sz w:val="10"/>
                <w:szCs w:val="10"/>
              </w:rPr>
            </w:pPr>
            <w:r w:rsidRPr="0069264C">
              <w:rPr>
                <w:rFonts w:cs="Arial"/>
                <w:color w:val="000000"/>
                <w:sz w:val="20"/>
                <w:szCs w:val="20"/>
              </w:rPr>
              <w:t>Il problema del confine tra Israele ed i paesi arabi. Insediamenti di coloni, profondità strategica ed i due stati. Confini ed ideologia. La grande Israele. Palestinesi, patria, identità. Protocollo Balfour. La guerra eterna: in Medio Oriente le guerre non finiscono mai?</w:t>
            </w:r>
            <w:r w:rsidRPr="0069264C">
              <w:rPr>
                <w:rFonts w:cs="Arial"/>
                <w:color w:val="000000"/>
                <w:sz w:val="20"/>
                <w:szCs w:val="20"/>
              </w:rPr>
              <w:br/>
            </w:r>
          </w:p>
        </w:tc>
      </w:tr>
      <w:tr w:rsidR="00501241" w:rsidRPr="00837008" w14:paraId="2243E8FA" w14:textId="77777777" w:rsidTr="001779AE">
        <w:trPr>
          <w:trHeight w:val="438"/>
        </w:trPr>
        <w:tc>
          <w:tcPr>
            <w:tcW w:w="483" w:type="dxa"/>
          </w:tcPr>
          <w:p w14:paraId="328A67D1" w14:textId="6C60C987" w:rsidR="00501241" w:rsidRPr="00837008" w:rsidRDefault="00501241" w:rsidP="00501241">
            <w:pPr>
              <w:jc w:val="right"/>
              <w:rPr>
                <w:b/>
                <w:sz w:val="24"/>
              </w:rPr>
            </w:pPr>
            <w:r w:rsidRPr="00837008">
              <w:rPr>
                <w:b/>
                <w:sz w:val="24"/>
              </w:rPr>
              <w:t>9</w:t>
            </w:r>
          </w:p>
        </w:tc>
        <w:tc>
          <w:tcPr>
            <w:tcW w:w="1502" w:type="dxa"/>
          </w:tcPr>
          <w:p w14:paraId="02BD8370" w14:textId="58203C6C" w:rsidR="00501241" w:rsidRPr="00837008" w:rsidRDefault="00501241" w:rsidP="00501241">
            <w:pPr>
              <w:ind w:left="57"/>
              <w:rPr>
                <w:sz w:val="22"/>
                <w:szCs w:val="22"/>
              </w:rPr>
            </w:pPr>
            <w:r>
              <w:rPr>
                <w:sz w:val="22"/>
                <w:szCs w:val="22"/>
              </w:rPr>
              <w:t>17</w:t>
            </w:r>
            <w:r w:rsidRPr="006630CC">
              <w:rPr>
                <w:sz w:val="22"/>
                <w:szCs w:val="22"/>
              </w:rPr>
              <w:t>.05.2022</w:t>
            </w:r>
          </w:p>
        </w:tc>
        <w:tc>
          <w:tcPr>
            <w:tcW w:w="7808" w:type="dxa"/>
          </w:tcPr>
          <w:p w14:paraId="3B68103E" w14:textId="1AD7E95A" w:rsidR="00501241" w:rsidRPr="001E2138" w:rsidRDefault="00501241" w:rsidP="001E2138">
            <w:pPr>
              <w:rPr>
                <w:rFonts w:cs="Arial"/>
                <w:sz w:val="10"/>
                <w:szCs w:val="10"/>
              </w:rPr>
            </w:pPr>
            <w:r w:rsidRPr="0069264C">
              <w:rPr>
                <w:rFonts w:cs="Arial"/>
                <w:color w:val="000000"/>
                <w:sz w:val="20"/>
                <w:szCs w:val="20"/>
              </w:rPr>
              <w:t>I rapporti tra le Coree: la permanenza della geopolitica della guerra fredda. Il trentottesimo parallelo.</w:t>
            </w:r>
            <w:r w:rsidR="001E2138">
              <w:rPr>
                <w:rFonts w:cs="Arial"/>
                <w:color w:val="000000"/>
                <w:sz w:val="20"/>
                <w:szCs w:val="20"/>
              </w:rPr>
              <w:t xml:space="preserve"> </w:t>
            </w:r>
            <w:r w:rsidRPr="0069264C">
              <w:rPr>
                <w:rFonts w:cs="Arial"/>
                <w:color w:val="000000"/>
                <w:sz w:val="20"/>
                <w:szCs w:val="20"/>
              </w:rPr>
              <w:t>Il muro di Berlino come disposizione geopolitica all’evitamento del confronto nucleare: J.F.Kennedy “</w:t>
            </w:r>
            <w:r w:rsidRPr="0069264C">
              <w:rPr>
                <w:rFonts w:ascii="Helvetica" w:hAnsi="Helvetica" w:cs="Helvetica"/>
                <w:color w:val="000000"/>
                <w:sz w:val="20"/>
                <w:szCs w:val="20"/>
                <w:highlight w:val="white"/>
              </w:rPr>
              <w:t xml:space="preserve">non è la soluzione ideale, ma </w:t>
            </w:r>
            <w:r w:rsidRPr="0069264C">
              <w:rPr>
                <w:rFonts w:cs="Arial"/>
                <w:color w:val="000000"/>
                <w:sz w:val="20"/>
                <w:szCs w:val="20"/>
              </w:rPr>
              <w:t>meglio un muro che</w:t>
            </w:r>
            <w:r w:rsidR="001E2138">
              <w:rPr>
                <w:rFonts w:cs="Arial"/>
                <w:color w:val="000000"/>
                <w:sz w:val="20"/>
                <w:szCs w:val="20"/>
              </w:rPr>
              <w:t xml:space="preserve"> una guerra”</w:t>
            </w:r>
            <w:r w:rsidRPr="0069264C">
              <w:rPr>
                <w:rFonts w:cs="Arial"/>
                <w:color w:val="000000"/>
                <w:sz w:val="20"/>
                <w:szCs w:val="20"/>
              </w:rPr>
              <w:br/>
            </w:r>
          </w:p>
        </w:tc>
      </w:tr>
      <w:tr w:rsidR="00501241" w:rsidRPr="00837008" w14:paraId="46C9C55B" w14:textId="77777777" w:rsidTr="001779AE">
        <w:trPr>
          <w:trHeight w:val="438"/>
        </w:trPr>
        <w:tc>
          <w:tcPr>
            <w:tcW w:w="483" w:type="dxa"/>
          </w:tcPr>
          <w:p w14:paraId="65884148" w14:textId="0791EC0B" w:rsidR="00501241" w:rsidRPr="00837008" w:rsidRDefault="00501241" w:rsidP="00501241">
            <w:pPr>
              <w:jc w:val="right"/>
              <w:rPr>
                <w:b/>
                <w:sz w:val="24"/>
              </w:rPr>
            </w:pPr>
            <w:r w:rsidRPr="00837008">
              <w:rPr>
                <w:b/>
                <w:sz w:val="24"/>
              </w:rPr>
              <w:t>10</w:t>
            </w:r>
          </w:p>
        </w:tc>
        <w:tc>
          <w:tcPr>
            <w:tcW w:w="1502" w:type="dxa"/>
          </w:tcPr>
          <w:p w14:paraId="373D63C3" w14:textId="04190A50" w:rsidR="00501241" w:rsidRDefault="00501241" w:rsidP="00501241">
            <w:pPr>
              <w:ind w:left="57"/>
              <w:rPr>
                <w:sz w:val="22"/>
                <w:szCs w:val="22"/>
              </w:rPr>
            </w:pPr>
            <w:r>
              <w:rPr>
                <w:sz w:val="22"/>
                <w:szCs w:val="22"/>
              </w:rPr>
              <w:t>24</w:t>
            </w:r>
            <w:r w:rsidRPr="006630CC">
              <w:rPr>
                <w:sz w:val="22"/>
                <w:szCs w:val="22"/>
              </w:rPr>
              <w:t>.05.2022</w:t>
            </w:r>
          </w:p>
        </w:tc>
        <w:tc>
          <w:tcPr>
            <w:tcW w:w="7808" w:type="dxa"/>
          </w:tcPr>
          <w:p w14:paraId="49339CCE" w14:textId="77777777" w:rsidR="00501241" w:rsidRPr="0069264C" w:rsidRDefault="00501241" w:rsidP="00501241">
            <w:pPr>
              <w:widowControl w:val="0"/>
              <w:autoSpaceDE w:val="0"/>
              <w:autoSpaceDN w:val="0"/>
              <w:adjustRightInd w:val="0"/>
              <w:jc w:val="both"/>
              <w:rPr>
                <w:rFonts w:cs="Arial"/>
                <w:color w:val="000000"/>
                <w:sz w:val="20"/>
                <w:szCs w:val="20"/>
              </w:rPr>
            </w:pPr>
            <w:r w:rsidRPr="0069264C">
              <w:rPr>
                <w:rFonts w:cs="Arial"/>
                <w:color w:val="000000"/>
                <w:sz w:val="20"/>
                <w:szCs w:val="20"/>
              </w:rPr>
              <w:t>Il muro di Trump? storia della geopolitica del Texas e geopolitica del confine tra USA e Messico;USA un paese che deve obbedire ad un "destino manifesto"; confini che stanno stretti.</w:t>
            </w:r>
          </w:p>
          <w:p w14:paraId="49290C4D" w14:textId="77777777" w:rsidR="00501241" w:rsidRPr="001E2138" w:rsidRDefault="00501241" w:rsidP="00501241">
            <w:pPr>
              <w:jc w:val="both"/>
              <w:rPr>
                <w:rFonts w:cs="Arial"/>
                <w:sz w:val="10"/>
                <w:szCs w:val="10"/>
              </w:rPr>
            </w:pPr>
          </w:p>
        </w:tc>
      </w:tr>
    </w:tbl>
    <w:p w14:paraId="224D901F" w14:textId="77777777" w:rsidR="004E36B0" w:rsidRPr="001A49D9" w:rsidRDefault="004E36B0" w:rsidP="00523CC4">
      <w:pPr>
        <w:rPr>
          <w:sz w:val="16"/>
          <w:szCs w:val="16"/>
        </w:rPr>
      </w:pPr>
    </w:p>
    <w:sectPr w:rsidR="004E36B0" w:rsidRPr="001A49D9" w:rsidSect="001E72A0">
      <w:headerReference w:type="default" r:id="rId6"/>
      <w:pgSz w:w="11906" w:h="16838"/>
      <w:pgMar w:top="1417" w:right="1134" w:bottom="426" w:left="1134"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9A22" w14:textId="77777777" w:rsidR="000D4965" w:rsidRDefault="000D4965" w:rsidP="00DE7D03">
      <w:r>
        <w:separator/>
      </w:r>
    </w:p>
  </w:endnote>
  <w:endnote w:type="continuationSeparator" w:id="0">
    <w:p w14:paraId="14EED90A" w14:textId="77777777" w:rsidR="000D4965" w:rsidRDefault="000D4965"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ABD0" w14:textId="77777777" w:rsidR="000D4965" w:rsidRDefault="000D4965" w:rsidP="00DE7D03">
      <w:r>
        <w:separator/>
      </w:r>
    </w:p>
  </w:footnote>
  <w:footnote w:type="continuationSeparator" w:id="0">
    <w:p w14:paraId="684487C9" w14:textId="77777777" w:rsidR="000D4965" w:rsidRDefault="000D4965"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2900" w14:textId="16427DE1" w:rsidR="00DE7D03" w:rsidRPr="00DE7D03" w:rsidRDefault="00A60FF8" w:rsidP="00DE7D03">
    <w:pPr>
      <w:pStyle w:val="Intestazione"/>
      <w:spacing w:after="40"/>
      <w:rPr>
        <w:rFonts w:cs="Arial"/>
        <w:b/>
        <w:bCs/>
        <w:sz w:val="44"/>
      </w:rPr>
    </w:pPr>
    <w:r>
      <w:rPr>
        <w:noProof/>
      </w:rPr>
      <w:pict w14:anchorId="417E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0F03CB">
      <w:rPr>
        <w:rFonts w:cs="Arial"/>
        <w:b/>
        <w:bCs/>
        <w:sz w:val="44"/>
      </w:rPr>
      <w:t>21</w:t>
    </w:r>
    <w:r w:rsidR="00DE7D03" w:rsidRPr="00DE7D03">
      <w:rPr>
        <w:rFonts w:cs="Arial"/>
        <w:b/>
        <w:bCs/>
        <w:sz w:val="44"/>
      </w:rPr>
      <w:t>/</w:t>
    </w:r>
    <w:r w:rsidR="001E72A0">
      <w:rPr>
        <w:rFonts w:cs="Arial"/>
        <w:b/>
        <w:bCs/>
        <w:sz w:val="44"/>
      </w:rPr>
      <w:t>2</w:t>
    </w:r>
    <w:r w:rsidR="000F03CB">
      <w:rPr>
        <w:rFonts w:cs="Arial"/>
        <w:b/>
        <w:bCs/>
        <w:sz w:val="44"/>
      </w:rPr>
      <w:t>2</w:t>
    </w:r>
  </w:p>
  <w:p w14:paraId="14D9B075"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E83EA3">
      <w:rPr>
        <w:rFonts w:cs="Arial"/>
        <w:color w:val="008000"/>
        <w:szCs w:val="28"/>
      </w:rPr>
      <w:t>Bergamo</w:t>
    </w:r>
    <w:r w:rsidRPr="00DE7D03">
      <w:rPr>
        <w:rFonts w:cs="Arial"/>
        <w:color w:val="008000"/>
        <w:szCs w:val="28"/>
      </w:rPr>
      <w:t xml:space="preserve"> - </w:t>
    </w:r>
    <w:r w:rsidR="00920A6D">
      <w:rPr>
        <w:rFonts w:cs="Arial"/>
        <w:b/>
        <w:bCs/>
        <w:color w:val="008000"/>
        <w:sz w:val="24"/>
      </w:rPr>
      <w:t>TERZA</w:t>
    </w:r>
    <w:r w:rsidRPr="00DE7D03">
      <w:rPr>
        <w:rFonts w:cs="Arial"/>
        <w:b/>
        <w:bCs/>
        <w:color w:val="008000"/>
        <w:sz w:val="24"/>
      </w:rPr>
      <w:t xml:space="preserve"> FASE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9D9"/>
    <w:rsid w:val="000D4965"/>
    <w:rsid w:val="000F03CB"/>
    <w:rsid w:val="00191EDA"/>
    <w:rsid w:val="001A49D9"/>
    <w:rsid w:val="001C0ACE"/>
    <w:rsid w:val="001E2138"/>
    <w:rsid w:val="001E72A0"/>
    <w:rsid w:val="002808B4"/>
    <w:rsid w:val="0028501F"/>
    <w:rsid w:val="0032361F"/>
    <w:rsid w:val="0047023F"/>
    <w:rsid w:val="004E36B0"/>
    <w:rsid w:val="00501241"/>
    <w:rsid w:val="00514453"/>
    <w:rsid w:val="00523CC4"/>
    <w:rsid w:val="005733E9"/>
    <w:rsid w:val="005801DE"/>
    <w:rsid w:val="005D4351"/>
    <w:rsid w:val="005F6D8B"/>
    <w:rsid w:val="006E5873"/>
    <w:rsid w:val="00700639"/>
    <w:rsid w:val="00770F43"/>
    <w:rsid w:val="00773F28"/>
    <w:rsid w:val="0077402E"/>
    <w:rsid w:val="007833CE"/>
    <w:rsid w:val="00791953"/>
    <w:rsid w:val="007C3537"/>
    <w:rsid w:val="00830E97"/>
    <w:rsid w:val="00873FBA"/>
    <w:rsid w:val="008A5CEA"/>
    <w:rsid w:val="008D037C"/>
    <w:rsid w:val="00920A6D"/>
    <w:rsid w:val="00936C1C"/>
    <w:rsid w:val="00963621"/>
    <w:rsid w:val="009F0A17"/>
    <w:rsid w:val="00A41048"/>
    <w:rsid w:val="00B4750A"/>
    <w:rsid w:val="00D46A5F"/>
    <w:rsid w:val="00DC5CE5"/>
    <w:rsid w:val="00DD0302"/>
    <w:rsid w:val="00DE7D03"/>
    <w:rsid w:val="00E83EA3"/>
    <w:rsid w:val="00EF2AF9"/>
    <w:rsid w:val="00F027DF"/>
    <w:rsid w:val="00F0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CDC1E8"/>
  <w15:docId w15:val="{1B26C18E-B245-4738-9C9A-17697702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9D9"/>
    <w:rPr>
      <w:rFonts w:ascii="Arial" w:eastAsia="Times New Roman" w:hAnsi="Arial"/>
      <w:sz w:val="28"/>
      <w:szCs w:val="24"/>
    </w:rPr>
  </w:style>
  <w:style w:type="paragraph" w:styleId="Titolo5">
    <w:name w:val="heading 5"/>
    <w:basedOn w:val="Normale"/>
    <w:next w:val="Normale"/>
    <w:link w:val="Titolo5Carattere"/>
    <w:qFormat/>
    <w:rsid w:val="001A49D9"/>
    <w:pPr>
      <w:keepNext/>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character" w:customStyle="1" w:styleId="Titolo5Carattere">
    <w:name w:val="Titolo 5 Carattere"/>
    <w:link w:val="Titolo5"/>
    <w:rsid w:val="001A49D9"/>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BG%20TESTATA%20TERZA%20FA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TERZA FASE.dot</Template>
  <TotalTime>84</TotalTime>
  <Pages>2</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7</cp:revision>
  <dcterms:created xsi:type="dcterms:W3CDTF">2020-02-04T12:46:00Z</dcterms:created>
  <dcterms:modified xsi:type="dcterms:W3CDTF">2021-12-03T12:53:00Z</dcterms:modified>
</cp:coreProperties>
</file>