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71C7" w14:textId="7007302A" w:rsidR="00072385" w:rsidRDefault="00072385" w:rsidP="00072385">
      <w:pPr>
        <w:pStyle w:val="Intestazione"/>
        <w:rPr>
          <w:b/>
          <w:bCs/>
          <w:sz w:val="44"/>
        </w:rPr>
      </w:pPr>
      <w:bookmarkStart w:id="0" w:name="_Hlk79681208"/>
      <w:bookmarkStart w:id="1" w:name="_Hlk79681209"/>
      <w:r>
        <w:rPr>
          <w:noProof/>
          <w:sz w:val="16"/>
        </w:rPr>
        <w:drawing>
          <wp:anchor distT="0" distB="0" distL="114300" distR="114300" simplePos="0" relativeHeight="251659264" behindDoc="0" locked="0" layoutInCell="1" allowOverlap="1" wp14:anchorId="24BC20FB" wp14:editId="604A0E54">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w:t>
      </w:r>
      <w:r w:rsidR="00660A48">
        <w:rPr>
          <w:b/>
          <w:bCs/>
          <w:sz w:val="36"/>
        </w:rPr>
        <w:t>VERSITÀ</w:t>
      </w:r>
      <w:r>
        <w:rPr>
          <w:b/>
          <w:bCs/>
          <w:sz w:val="36"/>
        </w:rPr>
        <w:t xml:space="preserve"> - </w:t>
      </w:r>
      <w:r>
        <w:rPr>
          <w:b/>
          <w:bCs/>
          <w:sz w:val="44"/>
        </w:rPr>
        <w:t xml:space="preserve"> 202</w:t>
      </w:r>
      <w:r w:rsidR="00AC7E24">
        <w:rPr>
          <w:b/>
          <w:bCs/>
          <w:sz w:val="44"/>
        </w:rPr>
        <w:t>2</w:t>
      </w:r>
      <w:r>
        <w:rPr>
          <w:b/>
          <w:bCs/>
          <w:sz w:val="44"/>
        </w:rPr>
        <w:t>/2</w:t>
      </w:r>
      <w:r w:rsidR="00AC7E24">
        <w:rPr>
          <w:b/>
          <w:bCs/>
          <w:sz w:val="44"/>
        </w:rPr>
        <w:t>3</w:t>
      </w:r>
    </w:p>
    <w:p w14:paraId="51A792EB" w14:textId="77777777" w:rsidR="00072385" w:rsidRPr="00660A48" w:rsidRDefault="00072385" w:rsidP="00072385">
      <w:pPr>
        <w:pStyle w:val="Intestazione"/>
        <w:rPr>
          <w:b/>
          <w:bCs/>
          <w:color w:val="00B050"/>
          <w:sz w:val="24"/>
        </w:rPr>
      </w:pPr>
      <w:r>
        <w:rPr>
          <w:color w:val="FF0000"/>
        </w:rPr>
        <w:t xml:space="preserve">                                                           </w:t>
      </w:r>
      <w:r w:rsidRPr="00660A48">
        <w:rPr>
          <w:color w:val="00B050"/>
        </w:rPr>
        <w:t>Bergamo -</w:t>
      </w:r>
      <w:r w:rsidRPr="00660A48">
        <w:rPr>
          <w:b/>
          <w:color w:val="00B050"/>
        </w:rPr>
        <w:t xml:space="preserve"> </w:t>
      </w:r>
      <w:r w:rsidRPr="00660A48">
        <w:rPr>
          <w:b/>
          <w:bCs/>
          <w:color w:val="00B050"/>
          <w:sz w:val="24"/>
        </w:rPr>
        <w:t>PRIMA FASE</w:t>
      </w:r>
      <w:bookmarkEnd w:id="0"/>
      <w:bookmarkEnd w:id="1"/>
    </w:p>
    <w:p w14:paraId="2D227EE1" w14:textId="77777777" w:rsidR="00072385" w:rsidRPr="00A51AB0" w:rsidRDefault="00072385" w:rsidP="00072385">
      <w:pPr>
        <w:rPr>
          <w:sz w:val="20"/>
          <w:szCs w:val="20"/>
        </w:rPr>
      </w:pPr>
    </w:p>
    <w:p w14:paraId="1F6A552F" w14:textId="77777777" w:rsidR="00072385" w:rsidRPr="003E2F93" w:rsidRDefault="00072385" w:rsidP="00072385">
      <w:pPr>
        <w:rPr>
          <w:sz w:val="20"/>
          <w:szCs w:val="20"/>
        </w:rPr>
      </w:pPr>
    </w:p>
    <w:tbl>
      <w:tblPr>
        <w:tblW w:w="9639" w:type="dxa"/>
        <w:tblInd w:w="-5"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143"/>
        <w:gridCol w:w="6945"/>
      </w:tblGrid>
      <w:tr w:rsidR="00072385" w:rsidRPr="009124C2" w14:paraId="57C76EB8" w14:textId="77777777" w:rsidTr="00660A48">
        <w:trPr>
          <w:trHeight w:val="379"/>
        </w:trPr>
        <w:tc>
          <w:tcPr>
            <w:tcW w:w="1551" w:type="dxa"/>
            <w:tcMar>
              <w:top w:w="0" w:type="dxa"/>
              <w:bottom w:w="0" w:type="dxa"/>
            </w:tcMar>
            <w:vAlign w:val="center"/>
          </w:tcPr>
          <w:p w14:paraId="4D529E93" w14:textId="77777777" w:rsidR="00072385" w:rsidRPr="009124C2" w:rsidRDefault="00072385" w:rsidP="00072385">
            <w:pPr>
              <w:jc w:val="center"/>
              <w:rPr>
                <w:szCs w:val="28"/>
              </w:rPr>
            </w:pPr>
            <w:r w:rsidRPr="009124C2">
              <w:rPr>
                <w:szCs w:val="28"/>
              </w:rPr>
              <w:t>Modulo n°</w:t>
            </w:r>
          </w:p>
        </w:tc>
        <w:tc>
          <w:tcPr>
            <w:tcW w:w="1143" w:type="dxa"/>
            <w:tcMar>
              <w:top w:w="0" w:type="dxa"/>
              <w:bottom w:w="0" w:type="dxa"/>
            </w:tcMar>
            <w:vAlign w:val="center"/>
          </w:tcPr>
          <w:p w14:paraId="759A5793" w14:textId="77777777" w:rsidR="00072385" w:rsidRPr="009124C2" w:rsidRDefault="00072385" w:rsidP="00072385">
            <w:pPr>
              <w:jc w:val="center"/>
              <w:rPr>
                <w:b/>
                <w:sz w:val="40"/>
                <w:szCs w:val="40"/>
              </w:rPr>
            </w:pPr>
            <w:r>
              <w:rPr>
                <w:b/>
                <w:sz w:val="40"/>
                <w:szCs w:val="40"/>
              </w:rPr>
              <w:t>33</w:t>
            </w:r>
          </w:p>
        </w:tc>
        <w:tc>
          <w:tcPr>
            <w:tcW w:w="6945" w:type="dxa"/>
            <w:vAlign w:val="center"/>
          </w:tcPr>
          <w:p w14:paraId="7187D03D" w14:textId="7534FCC7" w:rsidR="00AC7E24" w:rsidRPr="00660A48" w:rsidRDefault="00AC7E24" w:rsidP="00660A48">
            <w:pPr>
              <w:jc w:val="center"/>
              <w:rPr>
                <w:rFonts w:cs="Arial"/>
                <w:b/>
                <w:bCs/>
                <w:i/>
                <w:iCs/>
                <w:szCs w:val="28"/>
              </w:rPr>
            </w:pPr>
            <w:r w:rsidRPr="00660A48">
              <w:rPr>
                <w:rFonts w:cs="Arial"/>
                <w:b/>
                <w:bCs/>
                <w:i/>
                <w:iCs/>
                <w:szCs w:val="28"/>
              </w:rPr>
              <w:t>CONOSCIAMO LA NOSTRA CITTÀ</w:t>
            </w:r>
          </w:p>
          <w:p w14:paraId="3D1E8B01" w14:textId="0CD25150" w:rsidR="00072385" w:rsidRPr="00AC7E24" w:rsidRDefault="00AC7E24" w:rsidP="00AC7E24">
            <w:pPr>
              <w:jc w:val="center"/>
              <w:rPr>
                <w:rFonts w:cs="Arial"/>
                <w:b/>
                <w:bCs/>
                <w:szCs w:val="28"/>
              </w:rPr>
            </w:pPr>
            <w:r w:rsidRPr="00660A48">
              <w:rPr>
                <w:rFonts w:cs="Arial"/>
                <w:b/>
                <w:bCs/>
                <w:i/>
                <w:iCs/>
                <w:szCs w:val="28"/>
              </w:rPr>
              <w:t>ARTE E ARCHITETTURA A BERGAMO NELLA PRIMA METÀ DEL NOVECENTO</w:t>
            </w:r>
          </w:p>
        </w:tc>
      </w:tr>
    </w:tbl>
    <w:p w14:paraId="18EF5C04" w14:textId="77777777" w:rsidR="00072385" w:rsidRPr="00444C0E" w:rsidRDefault="00072385" w:rsidP="00072385">
      <w:pPr>
        <w:pStyle w:val="Testonotaapidipagina"/>
      </w:pPr>
    </w:p>
    <w:tbl>
      <w:tblPr>
        <w:tblW w:w="9639" w:type="dxa"/>
        <w:tblLook w:val="00A0" w:firstRow="1" w:lastRow="0" w:firstColumn="1" w:lastColumn="0" w:noHBand="0" w:noVBand="0"/>
      </w:tblPr>
      <w:tblGrid>
        <w:gridCol w:w="1727"/>
        <w:gridCol w:w="7912"/>
      </w:tblGrid>
      <w:tr w:rsidR="00072385" w:rsidRPr="009124C2" w14:paraId="3CA7FEF9" w14:textId="77777777" w:rsidTr="00660A48">
        <w:trPr>
          <w:trHeight w:val="340"/>
        </w:trPr>
        <w:tc>
          <w:tcPr>
            <w:tcW w:w="1727" w:type="dxa"/>
          </w:tcPr>
          <w:p w14:paraId="31A9D0C2" w14:textId="77777777" w:rsidR="00072385" w:rsidRPr="009124C2" w:rsidRDefault="00072385" w:rsidP="00AC7E24">
            <w:pPr>
              <w:spacing w:line="360" w:lineRule="auto"/>
              <w:rPr>
                <w:b/>
                <w:sz w:val="22"/>
                <w:szCs w:val="22"/>
              </w:rPr>
            </w:pPr>
            <w:r w:rsidRPr="009124C2">
              <w:rPr>
                <w:b/>
                <w:sz w:val="22"/>
                <w:szCs w:val="22"/>
              </w:rPr>
              <w:t>Docente</w:t>
            </w:r>
          </w:p>
        </w:tc>
        <w:tc>
          <w:tcPr>
            <w:tcW w:w="7912" w:type="dxa"/>
          </w:tcPr>
          <w:p w14:paraId="5ABA6B01" w14:textId="7DFE6DA3" w:rsidR="00072385" w:rsidRPr="00A51AB0" w:rsidRDefault="00AC7E24" w:rsidP="00AC7E24">
            <w:pPr>
              <w:spacing w:line="360" w:lineRule="auto"/>
              <w:jc w:val="both"/>
              <w:rPr>
                <w:rFonts w:cs="Arial"/>
                <w:sz w:val="22"/>
                <w:szCs w:val="22"/>
              </w:rPr>
            </w:pPr>
            <w:r>
              <w:rPr>
                <w:rFonts w:cs="Arial"/>
                <w:sz w:val="22"/>
                <w:szCs w:val="22"/>
              </w:rPr>
              <w:t>Eugenio Guglielmi</w:t>
            </w:r>
            <w:r w:rsidR="00072385" w:rsidRPr="00A51AB0">
              <w:rPr>
                <w:rFonts w:cs="Arial"/>
                <w:sz w:val="22"/>
                <w:szCs w:val="22"/>
              </w:rPr>
              <w:t xml:space="preserve"> </w:t>
            </w:r>
          </w:p>
        </w:tc>
      </w:tr>
      <w:tr w:rsidR="00072385" w:rsidRPr="009124C2" w14:paraId="0A160D98" w14:textId="77777777" w:rsidTr="00660A48">
        <w:trPr>
          <w:trHeight w:val="340"/>
        </w:trPr>
        <w:tc>
          <w:tcPr>
            <w:tcW w:w="1727" w:type="dxa"/>
          </w:tcPr>
          <w:p w14:paraId="13ED68BB" w14:textId="77777777" w:rsidR="00072385" w:rsidRPr="009124C2" w:rsidRDefault="00072385" w:rsidP="00AC7E24">
            <w:pPr>
              <w:spacing w:line="360" w:lineRule="auto"/>
              <w:rPr>
                <w:b/>
                <w:sz w:val="22"/>
                <w:szCs w:val="22"/>
              </w:rPr>
            </w:pPr>
            <w:r w:rsidRPr="009124C2">
              <w:rPr>
                <w:b/>
                <w:sz w:val="22"/>
                <w:szCs w:val="22"/>
              </w:rPr>
              <w:t>Giorno</w:t>
            </w:r>
          </w:p>
        </w:tc>
        <w:tc>
          <w:tcPr>
            <w:tcW w:w="7912" w:type="dxa"/>
          </w:tcPr>
          <w:p w14:paraId="15D79259" w14:textId="77777777" w:rsidR="00072385" w:rsidRPr="00A51AB0" w:rsidRDefault="00072385" w:rsidP="00AC7E24">
            <w:pPr>
              <w:spacing w:line="360" w:lineRule="auto"/>
              <w:rPr>
                <w:sz w:val="22"/>
                <w:szCs w:val="22"/>
              </w:rPr>
            </w:pPr>
            <w:r w:rsidRPr="00A51AB0">
              <w:rPr>
                <w:rFonts w:cs="Arial"/>
                <w:sz w:val="22"/>
                <w:szCs w:val="22"/>
              </w:rPr>
              <w:t>Venerdì</w:t>
            </w:r>
          </w:p>
        </w:tc>
      </w:tr>
      <w:tr w:rsidR="00072385" w:rsidRPr="009124C2" w14:paraId="3DF455D0" w14:textId="77777777" w:rsidTr="00660A48">
        <w:trPr>
          <w:trHeight w:val="340"/>
        </w:trPr>
        <w:tc>
          <w:tcPr>
            <w:tcW w:w="1727" w:type="dxa"/>
          </w:tcPr>
          <w:p w14:paraId="0B14289C" w14:textId="77777777" w:rsidR="00072385" w:rsidRPr="009124C2" w:rsidRDefault="00072385" w:rsidP="00AC7E24">
            <w:pPr>
              <w:spacing w:line="360" w:lineRule="auto"/>
              <w:rPr>
                <w:b/>
                <w:sz w:val="22"/>
                <w:szCs w:val="22"/>
              </w:rPr>
            </w:pPr>
            <w:r w:rsidRPr="009124C2">
              <w:rPr>
                <w:b/>
                <w:sz w:val="22"/>
                <w:szCs w:val="22"/>
              </w:rPr>
              <w:t>Orario</w:t>
            </w:r>
          </w:p>
        </w:tc>
        <w:tc>
          <w:tcPr>
            <w:tcW w:w="7912" w:type="dxa"/>
          </w:tcPr>
          <w:p w14:paraId="1F66987A" w14:textId="77777777" w:rsidR="00072385" w:rsidRPr="00A51AB0" w:rsidRDefault="00072385" w:rsidP="00AC7E24">
            <w:pPr>
              <w:spacing w:line="360" w:lineRule="auto"/>
              <w:rPr>
                <w:sz w:val="22"/>
                <w:szCs w:val="22"/>
              </w:rPr>
            </w:pPr>
            <w:r w:rsidRPr="00A51AB0">
              <w:rPr>
                <w:rFonts w:cs="Arial"/>
                <w:sz w:val="22"/>
                <w:szCs w:val="22"/>
              </w:rPr>
              <w:t>15-17.15</w:t>
            </w:r>
          </w:p>
        </w:tc>
      </w:tr>
      <w:tr w:rsidR="00072385" w:rsidRPr="009124C2" w14:paraId="6EE3DAA3" w14:textId="77777777" w:rsidTr="00660A48">
        <w:trPr>
          <w:trHeight w:val="340"/>
        </w:trPr>
        <w:tc>
          <w:tcPr>
            <w:tcW w:w="1727" w:type="dxa"/>
          </w:tcPr>
          <w:p w14:paraId="618CF011" w14:textId="77777777" w:rsidR="00072385" w:rsidRPr="00FB3258" w:rsidRDefault="00072385" w:rsidP="00AC7E24">
            <w:pPr>
              <w:spacing w:line="360" w:lineRule="auto"/>
              <w:rPr>
                <w:b/>
                <w:sz w:val="22"/>
                <w:szCs w:val="22"/>
              </w:rPr>
            </w:pPr>
            <w:r w:rsidRPr="00FB3258">
              <w:rPr>
                <w:b/>
                <w:sz w:val="22"/>
                <w:szCs w:val="22"/>
              </w:rPr>
              <w:t>Periodo</w:t>
            </w:r>
          </w:p>
        </w:tc>
        <w:tc>
          <w:tcPr>
            <w:tcW w:w="7912" w:type="dxa"/>
          </w:tcPr>
          <w:p w14:paraId="76E29E67" w14:textId="23C74E1E" w:rsidR="00072385" w:rsidRPr="00A51AB0" w:rsidRDefault="00AC7E24" w:rsidP="00AC7E24">
            <w:pPr>
              <w:spacing w:line="360" w:lineRule="auto"/>
              <w:rPr>
                <w:sz w:val="22"/>
                <w:szCs w:val="22"/>
              </w:rPr>
            </w:pPr>
            <w:r>
              <w:rPr>
                <w:rFonts w:cs="Arial"/>
                <w:bCs/>
                <w:sz w:val="22"/>
                <w:szCs w:val="22"/>
              </w:rPr>
              <w:t xml:space="preserve">Dal 23.09.2022 al </w:t>
            </w:r>
            <w:r w:rsidR="003F5A0B">
              <w:rPr>
                <w:rFonts w:cs="Arial"/>
                <w:bCs/>
                <w:sz w:val="22"/>
                <w:szCs w:val="22"/>
              </w:rPr>
              <w:t>28.10.2022</w:t>
            </w:r>
            <w:r w:rsidR="00072385" w:rsidRPr="00A51AB0">
              <w:rPr>
                <w:rFonts w:cs="Arial"/>
                <w:bCs/>
                <w:sz w:val="22"/>
                <w:szCs w:val="22"/>
              </w:rPr>
              <w:t xml:space="preserve"> (</w:t>
            </w:r>
            <w:r>
              <w:rPr>
                <w:rFonts w:cs="Arial"/>
                <w:bCs/>
                <w:sz w:val="22"/>
                <w:szCs w:val="22"/>
              </w:rPr>
              <w:t>6</w:t>
            </w:r>
            <w:r w:rsidR="00072385" w:rsidRPr="00A51AB0">
              <w:rPr>
                <w:rFonts w:cs="Arial"/>
                <w:bCs/>
                <w:sz w:val="22"/>
                <w:szCs w:val="22"/>
              </w:rPr>
              <w:t xml:space="preserve"> incontri)</w:t>
            </w:r>
          </w:p>
        </w:tc>
      </w:tr>
      <w:tr w:rsidR="00072385" w:rsidRPr="009124C2" w14:paraId="3F1A50F1" w14:textId="77777777" w:rsidTr="00660A48">
        <w:trPr>
          <w:trHeight w:val="340"/>
        </w:trPr>
        <w:tc>
          <w:tcPr>
            <w:tcW w:w="1727" w:type="dxa"/>
          </w:tcPr>
          <w:p w14:paraId="36479DEB" w14:textId="77777777" w:rsidR="00072385" w:rsidRPr="009124C2" w:rsidRDefault="00072385" w:rsidP="00AC7E24">
            <w:pPr>
              <w:spacing w:line="360" w:lineRule="auto"/>
              <w:rPr>
                <w:b/>
                <w:sz w:val="22"/>
                <w:szCs w:val="22"/>
              </w:rPr>
            </w:pPr>
            <w:r w:rsidRPr="009124C2">
              <w:rPr>
                <w:b/>
                <w:sz w:val="22"/>
                <w:szCs w:val="22"/>
              </w:rPr>
              <w:t>Sede</w:t>
            </w:r>
          </w:p>
        </w:tc>
        <w:tc>
          <w:tcPr>
            <w:tcW w:w="7912" w:type="dxa"/>
          </w:tcPr>
          <w:p w14:paraId="74822034" w14:textId="6BD572AE" w:rsidR="00072385" w:rsidRPr="00A51AB0" w:rsidRDefault="00AC7E24" w:rsidP="00AC7E24">
            <w:pPr>
              <w:autoSpaceDE w:val="0"/>
              <w:autoSpaceDN w:val="0"/>
              <w:adjustRightInd w:val="0"/>
              <w:spacing w:line="360" w:lineRule="auto"/>
              <w:jc w:val="both"/>
              <w:rPr>
                <w:rFonts w:cs="Arial"/>
                <w:sz w:val="22"/>
                <w:szCs w:val="22"/>
              </w:rPr>
            </w:pPr>
            <w:r>
              <w:rPr>
                <w:rFonts w:cs="Arial"/>
                <w:sz w:val="22"/>
                <w:szCs w:val="22"/>
              </w:rPr>
              <w:t>La Porta</w:t>
            </w:r>
            <w:r w:rsidR="00072385" w:rsidRPr="00A51AB0">
              <w:rPr>
                <w:rFonts w:cs="Arial"/>
                <w:sz w:val="22"/>
                <w:szCs w:val="22"/>
              </w:rPr>
              <w:t xml:space="preserve"> (€ </w:t>
            </w:r>
            <w:r>
              <w:rPr>
                <w:rFonts w:cs="Arial"/>
                <w:sz w:val="22"/>
                <w:szCs w:val="22"/>
              </w:rPr>
              <w:t>24,00</w:t>
            </w:r>
            <w:r w:rsidR="00072385" w:rsidRPr="00A51AB0">
              <w:rPr>
                <w:rFonts w:cs="Arial"/>
                <w:sz w:val="22"/>
                <w:szCs w:val="22"/>
              </w:rPr>
              <w:t>)</w:t>
            </w:r>
          </w:p>
        </w:tc>
      </w:tr>
      <w:tr w:rsidR="00072385" w:rsidRPr="009124C2" w14:paraId="77A7903B" w14:textId="77777777" w:rsidTr="00660A48">
        <w:trPr>
          <w:trHeight w:val="340"/>
        </w:trPr>
        <w:tc>
          <w:tcPr>
            <w:tcW w:w="1727" w:type="dxa"/>
          </w:tcPr>
          <w:p w14:paraId="6FA016AC" w14:textId="77777777" w:rsidR="00072385" w:rsidRPr="009124C2" w:rsidRDefault="00072385" w:rsidP="00AC7E24">
            <w:pPr>
              <w:spacing w:line="360" w:lineRule="auto"/>
              <w:rPr>
                <w:b/>
                <w:sz w:val="22"/>
                <w:szCs w:val="22"/>
              </w:rPr>
            </w:pPr>
            <w:r w:rsidRPr="009124C2">
              <w:rPr>
                <w:b/>
                <w:sz w:val="22"/>
                <w:szCs w:val="22"/>
              </w:rPr>
              <w:t>Argomento</w:t>
            </w:r>
          </w:p>
        </w:tc>
        <w:tc>
          <w:tcPr>
            <w:tcW w:w="7912" w:type="dxa"/>
          </w:tcPr>
          <w:p w14:paraId="6B92BE9D" w14:textId="562A3FE6" w:rsidR="00072385" w:rsidRPr="00A51AB0" w:rsidRDefault="00AC7E24" w:rsidP="00AC7E24">
            <w:pPr>
              <w:tabs>
                <w:tab w:val="left" w:pos="567"/>
              </w:tabs>
              <w:spacing w:line="360" w:lineRule="auto"/>
              <w:jc w:val="both"/>
              <w:rPr>
                <w:rFonts w:cs="Arial"/>
                <w:bCs/>
                <w:sz w:val="22"/>
                <w:szCs w:val="22"/>
              </w:rPr>
            </w:pPr>
            <w:r>
              <w:rPr>
                <w:rFonts w:cs="Arial"/>
                <w:b/>
                <w:bCs/>
                <w:sz w:val="22"/>
                <w:szCs w:val="22"/>
              </w:rPr>
              <w:t>Storia dell’arte</w:t>
            </w:r>
            <w:r w:rsidR="00072385" w:rsidRPr="00A51AB0">
              <w:rPr>
                <w:rFonts w:cs="Arial"/>
                <w:b/>
                <w:bCs/>
                <w:sz w:val="22"/>
                <w:szCs w:val="22"/>
              </w:rPr>
              <w:t xml:space="preserve"> </w:t>
            </w:r>
            <w:r w:rsidR="00072385" w:rsidRPr="00A51AB0">
              <w:rPr>
                <w:rFonts w:cs="Arial"/>
                <w:bCs/>
                <w:sz w:val="22"/>
                <w:szCs w:val="22"/>
              </w:rPr>
              <w:t xml:space="preserve">(max </w:t>
            </w:r>
            <w:r>
              <w:rPr>
                <w:rFonts w:cs="Arial"/>
                <w:bCs/>
                <w:sz w:val="22"/>
                <w:szCs w:val="22"/>
              </w:rPr>
              <w:t>40</w:t>
            </w:r>
            <w:r w:rsidR="00072385" w:rsidRPr="00A51AB0">
              <w:rPr>
                <w:rFonts w:cs="Arial"/>
                <w:bCs/>
                <w:sz w:val="22"/>
                <w:szCs w:val="22"/>
              </w:rPr>
              <w:t>)</w:t>
            </w:r>
          </w:p>
        </w:tc>
      </w:tr>
      <w:tr w:rsidR="00072385" w:rsidRPr="009C08BD" w14:paraId="32C96939" w14:textId="77777777" w:rsidTr="00660A48">
        <w:trPr>
          <w:trHeight w:val="903"/>
        </w:trPr>
        <w:tc>
          <w:tcPr>
            <w:tcW w:w="1727" w:type="dxa"/>
          </w:tcPr>
          <w:p w14:paraId="725529BB" w14:textId="77777777" w:rsidR="00072385" w:rsidRPr="009124C2" w:rsidRDefault="00072385" w:rsidP="00AC7E24">
            <w:pPr>
              <w:spacing w:line="360" w:lineRule="auto"/>
              <w:rPr>
                <w:b/>
                <w:sz w:val="22"/>
                <w:szCs w:val="22"/>
              </w:rPr>
            </w:pPr>
            <w:r w:rsidRPr="009124C2">
              <w:rPr>
                <w:b/>
                <w:sz w:val="22"/>
                <w:szCs w:val="22"/>
              </w:rPr>
              <w:t>Presentazione</w:t>
            </w:r>
          </w:p>
        </w:tc>
        <w:tc>
          <w:tcPr>
            <w:tcW w:w="7912" w:type="dxa"/>
          </w:tcPr>
          <w:p w14:paraId="4A4777BD" w14:textId="74BD5ED3" w:rsidR="00072385" w:rsidRPr="00AC7E24" w:rsidRDefault="00AC7E24" w:rsidP="00AC7E24">
            <w:pPr>
              <w:spacing w:line="276" w:lineRule="auto"/>
              <w:jc w:val="both"/>
              <w:rPr>
                <w:rFonts w:cs="Arial"/>
                <w:i/>
                <w:iCs/>
                <w:sz w:val="22"/>
                <w:szCs w:val="22"/>
              </w:rPr>
            </w:pPr>
            <w:r w:rsidRPr="00AC7E24">
              <w:rPr>
                <w:rFonts w:cs="Arial"/>
                <w:i/>
                <w:iCs/>
                <w:sz w:val="22"/>
                <w:szCs w:val="22"/>
              </w:rPr>
              <w:t xml:space="preserve">Il corso monografico ricostruisce il periodo che a partire dagli anni Venti del secolo scorso ha fatto di Bergamo un centro culturale di primaria importanza grazie alla presenza di numerosi personaggi nel campo delle arti figurative e dell’architettura. La presenza di Marcello Piacentini, agli inizi del secolo, aveva dotato la città di uno dei più ammirati Piani regolatori europei, mettendo in dialogo la “città bassa” con quella “di sopra”, creando nuovi stimoli anche con la collaborazione dell’ingegnere Luigi Angelini, autore poi del Piano di Risanamento della stessa Bergamo alta. Botteghe artigiane rinomate avevano creato nel contesto un virtuoso rapporto con le scuole di formazione presenti in città, come quelle dell’Accademia Carrara e della Scuola d’Arte Fantoni, frequentata in gioventù anche dallo stesso Giacomo Manzù. Questo felice periodo proseguì fino alla tragica conclusione della Seconda guerra mondiale, proiettando l’esperienza culturale bergamasca fino ai successivi anni Cinquanta, forse </w:t>
            </w:r>
            <w:proofErr w:type="spellStart"/>
            <w:r w:rsidRPr="00AC7E24">
              <w:rPr>
                <w:rFonts w:cs="Arial"/>
                <w:i/>
                <w:iCs/>
                <w:sz w:val="22"/>
                <w:szCs w:val="22"/>
              </w:rPr>
              <w:t>unico</w:t>
            </w:r>
            <w:proofErr w:type="spellEnd"/>
            <w:r w:rsidRPr="00AC7E24">
              <w:rPr>
                <w:rFonts w:cs="Arial"/>
                <w:i/>
                <w:iCs/>
                <w:sz w:val="22"/>
                <w:szCs w:val="22"/>
              </w:rPr>
              <w:t xml:space="preserve"> esempio in Italia per qualità e intensità di progetto.</w:t>
            </w:r>
          </w:p>
        </w:tc>
      </w:tr>
      <w:tr w:rsidR="00072385" w:rsidRPr="009124C2" w14:paraId="475375C3" w14:textId="77777777" w:rsidTr="00660A48">
        <w:trPr>
          <w:trHeight w:val="340"/>
        </w:trPr>
        <w:tc>
          <w:tcPr>
            <w:tcW w:w="1727" w:type="dxa"/>
          </w:tcPr>
          <w:p w14:paraId="73D68832" w14:textId="77777777" w:rsidR="00072385" w:rsidRPr="009124C2" w:rsidRDefault="00072385" w:rsidP="00AC7E24">
            <w:pPr>
              <w:spacing w:line="360" w:lineRule="auto"/>
              <w:rPr>
                <w:b/>
                <w:sz w:val="22"/>
                <w:szCs w:val="22"/>
              </w:rPr>
            </w:pPr>
            <w:r w:rsidRPr="009124C2">
              <w:rPr>
                <w:b/>
                <w:sz w:val="22"/>
                <w:szCs w:val="22"/>
              </w:rPr>
              <w:t>Tutor</w:t>
            </w:r>
          </w:p>
        </w:tc>
        <w:tc>
          <w:tcPr>
            <w:tcW w:w="7912" w:type="dxa"/>
          </w:tcPr>
          <w:p w14:paraId="0833D3DD" w14:textId="77777777" w:rsidR="00072385" w:rsidRPr="00A51AB0" w:rsidRDefault="00072385" w:rsidP="00AC7E24">
            <w:pPr>
              <w:spacing w:line="360" w:lineRule="auto"/>
              <w:jc w:val="both"/>
              <w:rPr>
                <w:rFonts w:cs="Arial"/>
                <w:i/>
                <w:sz w:val="22"/>
                <w:szCs w:val="22"/>
              </w:rPr>
            </w:pPr>
          </w:p>
        </w:tc>
      </w:tr>
    </w:tbl>
    <w:p w14:paraId="67D9A7AF" w14:textId="77777777" w:rsidR="00072385" w:rsidRDefault="00072385" w:rsidP="00072385">
      <w:pPr>
        <w:rPr>
          <w:b/>
          <w:sz w:val="24"/>
        </w:rPr>
      </w:pPr>
    </w:p>
    <w:p w14:paraId="2402C95B" w14:textId="77777777" w:rsidR="00072385" w:rsidRDefault="00072385" w:rsidP="00072385">
      <w:pPr>
        <w:rPr>
          <w:sz w:val="24"/>
        </w:rPr>
      </w:pPr>
      <w:r w:rsidRPr="006A709D">
        <w:rPr>
          <w:b/>
          <w:sz w:val="24"/>
        </w:rPr>
        <w:t>Calendario</w:t>
      </w:r>
    </w:p>
    <w:p w14:paraId="19F3674D" w14:textId="77777777" w:rsidR="00072385" w:rsidRPr="00072385" w:rsidRDefault="00072385" w:rsidP="00072385">
      <w:pPr>
        <w:rPr>
          <w:b/>
          <w:bCs/>
          <w:sz w:val="24"/>
        </w:rPr>
      </w:pPr>
    </w:p>
    <w:tbl>
      <w:tblPr>
        <w:tblW w:w="9639" w:type="dxa"/>
        <w:tblLook w:val="00A0" w:firstRow="1" w:lastRow="0" w:firstColumn="1" w:lastColumn="0" w:noHBand="0" w:noVBand="0"/>
      </w:tblPr>
      <w:tblGrid>
        <w:gridCol w:w="709"/>
        <w:gridCol w:w="8930"/>
      </w:tblGrid>
      <w:tr w:rsidR="003F5A0B" w:rsidRPr="00072385" w14:paraId="581A3D8D" w14:textId="6FCA078A" w:rsidTr="00660A48">
        <w:trPr>
          <w:trHeight w:val="180"/>
        </w:trPr>
        <w:tc>
          <w:tcPr>
            <w:tcW w:w="709" w:type="dxa"/>
            <w:hideMark/>
          </w:tcPr>
          <w:p w14:paraId="29CEB424" w14:textId="36EFCC5B" w:rsidR="003F5A0B" w:rsidRPr="00072385" w:rsidRDefault="003F5A0B" w:rsidP="003F5A0B">
            <w:pPr>
              <w:jc w:val="center"/>
              <w:rPr>
                <w:b/>
                <w:bCs/>
                <w:sz w:val="24"/>
              </w:rPr>
            </w:pPr>
            <w:r w:rsidRPr="00072385">
              <w:rPr>
                <w:b/>
                <w:bCs/>
                <w:sz w:val="24"/>
              </w:rPr>
              <w:t>1</w:t>
            </w:r>
          </w:p>
        </w:tc>
        <w:tc>
          <w:tcPr>
            <w:tcW w:w="8930" w:type="dxa"/>
          </w:tcPr>
          <w:p w14:paraId="41EFFCFF" w14:textId="77777777" w:rsidR="003F5A0B" w:rsidRPr="00445F7B" w:rsidRDefault="003F5A0B" w:rsidP="003F5A0B">
            <w:pPr>
              <w:rPr>
                <w:rFonts w:cs="Arial"/>
                <w:sz w:val="22"/>
                <w:szCs w:val="22"/>
              </w:rPr>
            </w:pPr>
            <w:r w:rsidRPr="00445F7B">
              <w:rPr>
                <w:rFonts w:cs="Arial"/>
                <w:sz w:val="22"/>
                <w:szCs w:val="22"/>
              </w:rPr>
              <w:t>La trasformazione della città attraverso i Piani Regolatori: dalla Fiera al Nuovo Centro Civico</w:t>
            </w:r>
          </w:p>
          <w:p w14:paraId="34901CF0" w14:textId="77777777" w:rsidR="003F5A0B" w:rsidRPr="00445F7B" w:rsidRDefault="003F5A0B" w:rsidP="003F5A0B">
            <w:pPr>
              <w:ind w:left="-443" w:right="8817"/>
              <w:jc w:val="right"/>
              <w:rPr>
                <w:rFonts w:cs="Arial"/>
                <w:b/>
                <w:bCs/>
                <w:sz w:val="22"/>
                <w:szCs w:val="22"/>
              </w:rPr>
            </w:pPr>
          </w:p>
        </w:tc>
      </w:tr>
      <w:tr w:rsidR="003F5A0B" w:rsidRPr="00072385" w14:paraId="3893806A" w14:textId="17B2FAEE" w:rsidTr="00660A48">
        <w:trPr>
          <w:trHeight w:val="567"/>
        </w:trPr>
        <w:tc>
          <w:tcPr>
            <w:tcW w:w="709" w:type="dxa"/>
            <w:hideMark/>
          </w:tcPr>
          <w:p w14:paraId="01B83706" w14:textId="77777777" w:rsidR="003F5A0B" w:rsidRPr="00072385" w:rsidRDefault="003F5A0B" w:rsidP="003F5A0B">
            <w:pPr>
              <w:jc w:val="center"/>
              <w:rPr>
                <w:b/>
                <w:bCs/>
                <w:sz w:val="24"/>
              </w:rPr>
            </w:pPr>
            <w:r w:rsidRPr="00072385">
              <w:rPr>
                <w:b/>
                <w:bCs/>
                <w:sz w:val="24"/>
              </w:rPr>
              <w:t>2</w:t>
            </w:r>
          </w:p>
        </w:tc>
        <w:tc>
          <w:tcPr>
            <w:tcW w:w="8930" w:type="dxa"/>
          </w:tcPr>
          <w:p w14:paraId="077386C6" w14:textId="77777777" w:rsidR="003F5A0B" w:rsidRPr="00445F7B" w:rsidRDefault="003F5A0B" w:rsidP="003F5A0B">
            <w:pPr>
              <w:rPr>
                <w:rFonts w:cs="Arial"/>
                <w:sz w:val="22"/>
                <w:szCs w:val="22"/>
              </w:rPr>
            </w:pPr>
            <w:r w:rsidRPr="00445F7B">
              <w:rPr>
                <w:rFonts w:cs="Arial"/>
                <w:sz w:val="22"/>
                <w:szCs w:val="22"/>
              </w:rPr>
              <w:t>Arte e ideologia: la nuova città di regime. Architetti e materiali tra tradizione e innovazione</w:t>
            </w:r>
          </w:p>
          <w:p w14:paraId="48514AD6" w14:textId="77777777" w:rsidR="003F5A0B" w:rsidRPr="00445F7B" w:rsidRDefault="003F5A0B" w:rsidP="00072385">
            <w:pPr>
              <w:jc w:val="right"/>
              <w:rPr>
                <w:rFonts w:cs="Arial"/>
                <w:b/>
                <w:bCs/>
                <w:sz w:val="22"/>
                <w:szCs w:val="22"/>
              </w:rPr>
            </w:pPr>
          </w:p>
        </w:tc>
      </w:tr>
      <w:tr w:rsidR="003F5A0B" w:rsidRPr="00072385" w14:paraId="01B1FAE0" w14:textId="77777777" w:rsidTr="00660A48">
        <w:trPr>
          <w:trHeight w:val="567"/>
        </w:trPr>
        <w:tc>
          <w:tcPr>
            <w:tcW w:w="709" w:type="dxa"/>
          </w:tcPr>
          <w:p w14:paraId="324A6BF1" w14:textId="23F2240A" w:rsidR="003F5A0B" w:rsidRPr="00072385" w:rsidRDefault="003F5A0B" w:rsidP="003F5A0B">
            <w:pPr>
              <w:jc w:val="center"/>
              <w:rPr>
                <w:b/>
                <w:bCs/>
                <w:sz w:val="24"/>
              </w:rPr>
            </w:pPr>
            <w:r>
              <w:rPr>
                <w:b/>
                <w:bCs/>
                <w:sz w:val="24"/>
              </w:rPr>
              <w:t>3</w:t>
            </w:r>
          </w:p>
        </w:tc>
        <w:tc>
          <w:tcPr>
            <w:tcW w:w="8930" w:type="dxa"/>
          </w:tcPr>
          <w:p w14:paraId="6C1BCDC5" w14:textId="5F20B8C4" w:rsidR="003F5A0B" w:rsidRPr="00445F7B" w:rsidRDefault="003F5A0B" w:rsidP="003F5A0B">
            <w:pPr>
              <w:rPr>
                <w:rFonts w:cs="Arial"/>
                <w:b/>
                <w:bCs/>
                <w:sz w:val="22"/>
                <w:szCs w:val="22"/>
              </w:rPr>
            </w:pPr>
            <w:r w:rsidRPr="00445F7B">
              <w:rPr>
                <w:rFonts w:cs="Arial"/>
                <w:sz w:val="22"/>
                <w:szCs w:val="22"/>
              </w:rPr>
              <w:t>L’integrazione tra le arti: pittura, scultura e architettura</w:t>
            </w:r>
          </w:p>
        </w:tc>
      </w:tr>
      <w:tr w:rsidR="003F5A0B" w:rsidRPr="00072385" w14:paraId="27A7FD1E" w14:textId="77777777" w:rsidTr="00660A48">
        <w:trPr>
          <w:trHeight w:val="567"/>
        </w:trPr>
        <w:tc>
          <w:tcPr>
            <w:tcW w:w="709" w:type="dxa"/>
          </w:tcPr>
          <w:p w14:paraId="42B550AD" w14:textId="1B5D641C" w:rsidR="003F5A0B" w:rsidRPr="00072385" w:rsidRDefault="003F5A0B" w:rsidP="003F5A0B">
            <w:pPr>
              <w:jc w:val="center"/>
              <w:rPr>
                <w:b/>
                <w:bCs/>
                <w:sz w:val="24"/>
              </w:rPr>
            </w:pPr>
            <w:r>
              <w:rPr>
                <w:b/>
                <w:bCs/>
                <w:sz w:val="24"/>
              </w:rPr>
              <w:t>4</w:t>
            </w:r>
          </w:p>
        </w:tc>
        <w:tc>
          <w:tcPr>
            <w:tcW w:w="8930" w:type="dxa"/>
          </w:tcPr>
          <w:p w14:paraId="0A18C305" w14:textId="77777777" w:rsidR="003F5A0B" w:rsidRPr="00445F7B" w:rsidRDefault="003F5A0B" w:rsidP="003F5A0B">
            <w:pPr>
              <w:rPr>
                <w:rFonts w:cs="Arial"/>
                <w:sz w:val="22"/>
                <w:szCs w:val="22"/>
              </w:rPr>
            </w:pPr>
            <w:r w:rsidRPr="00445F7B">
              <w:rPr>
                <w:rFonts w:cs="Arial"/>
                <w:sz w:val="22"/>
                <w:szCs w:val="22"/>
              </w:rPr>
              <w:t>Tra arte e artigianato. Una inedita storia di creatività e di bellezza</w:t>
            </w:r>
          </w:p>
          <w:p w14:paraId="40E4E167" w14:textId="77777777" w:rsidR="003F5A0B" w:rsidRPr="00445F7B" w:rsidRDefault="003F5A0B" w:rsidP="00072385">
            <w:pPr>
              <w:jc w:val="right"/>
              <w:rPr>
                <w:rFonts w:cs="Arial"/>
                <w:b/>
                <w:bCs/>
                <w:sz w:val="22"/>
                <w:szCs w:val="22"/>
              </w:rPr>
            </w:pPr>
          </w:p>
        </w:tc>
      </w:tr>
      <w:tr w:rsidR="003F5A0B" w:rsidRPr="00072385" w14:paraId="0F60B23B" w14:textId="77777777" w:rsidTr="00660A48">
        <w:trPr>
          <w:trHeight w:val="567"/>
        </w:trPr>
        <w:tc>
          <w:tcPr>
            <w:tcW w:w="709" w:type="dxa"/>
          </w:tcPr>
          <w:p w14:paraId="72A6336C" w14:textId="68D653CC" w:rsidR="003F5A0B" w:rsidRPr="00072385" w:rsidRDefault="003F5A0B" w:rsidP="003F5A0B">
            <w:pPr>
              <w:jc w:val="center"/>
              <w:rPr>
                <w:b/>
                <w:bCs/>
                <w:sz w:val="24"/>
              </w:rPr>
            </w:pPr>
            <w:r>
              <w:rPr>
                <w:b/>
                <w:bCs/>
                <w:sz w:val="24"/>
              </w:rPr>
              <w:t>5</w:t>
            </w:r>
          </w:p>
        </w:tc>
        <w:tc>
          <w:tcPr>
            <w:tcW w:w="8930" w:type="dxa"/>
          </w:tcPr>
          <w:p w14:paraId="1811AD61" w14:textId="77777777" w:rsidR="00445F7B" w:rsidRDefault="00445F7B" w:rsidP="00445F7B">
            <w:pPr>
              <w:rPr>
                <w:rFonts w:cs="Arial"/>
                <w:color w:val="000000"/>
                <w:sz w:val="22"/>
                <w:szCs w:val="22"/>
              </w:rPr>
            </w:pPr>
            <w:r w:rsidRPr="00445F7B">
              <w:rPr>
                <w:rFonts w:cs="Arial"/>
                <w:b/>
                <w:bCs/>
                <w:sz w:val="22"/>
                <w:szCs w:val="22"/>
              </w:rPr>
              <w:t>Visita guidata</w:t>
            </w:r>
            <w:r w:rsidRPr="00445F7B">
              <w:rPr>
                <w:rFonts w:cs="Arial"/>
                <w:sz w:val="22"/>
                <w:szCs w:val="22"/>
              </w:rPr>
              <w:t>. Luogo di ritrovo:</w:t>
            </w:r>
            <w:r w:rsidRPr="00445F7B">
              <w:rPr>
                <w:rFonts w:cs="Arial"/>
                <w:color w:val="000000"/>
                <w:sz w:val="22"/>
                <w:szCs w:val="22"/>
              </w:rPr>
              <w:t xml:space="preserve"> ATRIO EX CASA LITTORIA, Piazza della Libertà. </w:t>
            </w:r>
          </w:p>
          <w:p w14:paraId="3BE94123" w14:textId="45779811" w:rsidR="00445F7B" w:rsidRPr="00445F7B" w:rsidRDefault="00445F7B" w:rsidP="00445F7B">
            <w:pPr>
              <w:rPr>
                <w:rFonts w:cs="Arial"/>
                <w:color w:val="000000"/>
                <w:sz w:val="22"/>
                <w:szCs w:val="22"/>
              </w:rPr>
            </w:pPr>
            <w:r w:rsidRPr="00445F7B">
              <w:rPr>
                <w:rFonts w:cs="Arial"/>
                <w:color w:val="000000"/>
                <w:sz w:val="22"/>
                <w:szCs w:val="22"/>
              </w:rPr>
              <w:t>Tema: spazi pubblici e architettura negli Anni Trenta</w:t>
            </w:r>
          </w:p>
          <w:p w14:paraId="6D0FBA08" w14:textId="77777777" w:rsidR="003F5A0B" w:rsidRPr="00445F7B" w:rsidRDefault="003F5A0B" w:rsidP="00072385">
            <w:pPr>
              <w:jc w:val="right"/>
              <w:rPr>
                <w:rFonts w:cs="Arial"/>
                <w:b/>
                <w:bCs/>
                <w:sz w:val="22"/>
                <w:szCs w:val="22"/>
              </w:rPr>
            </w:pPr>
          </w:p>
        </w:tc>
      </w:tr>
      <w:tr w:rsidR="003F5A0B" w:rsidRPr="00072385" w14:paraId="47FA3E3F" w14:textId="77777777" w:rsidTr="00660A48">
        <w:trPr>
          <w:trHeight w:val="567"/>
        </w:trPr>
        <w:tc>
          <w:tcPr>
            <w:tcW w:w="709" w:type="dxa"/>
          </w:tcPr>
          <w:p w14:paraId="0A41629D" w14:textId="6632C8A2" w:rsidR="003F5A0B" w:rsidRDefault="003F5A0B" w:rsidP="003F5A0B">
            <w:pPr>
              <w:jc w:val="center"/>
              <w:rPr>
                <w:b/>
                <w:bCs/>
                <w:sz w:val="24"/>
              </w:rPr>
            </w:pPr>
            <w:r>
              <w:rPr>
                <w:b/>
                <w:bCs/>
                <w:sz w:val="24"/>
              </w:rPr>
              <w:t>6</w:t>
            </w:r>
          </w:p>
        </w:tc>
        <w:tc>
          <w:tcPr>
            <w:tcW w:w="8930" w:type="dxa"/>
          </w:tcPr>
          <w:p w14:paraId="5ECBA4A1" w14:textId="77777777" w:rsidR="00445F7B" w:rsidRDefault="00445F7B" w:rsidP="00445F7B">
            <w:pPr>
              <w:rPr>
                <w:rFonts w:cs="Arial"/>
                <w:sz w:val="22"/>
                <w:szCs w:val="22"/>
              </w:rPr>
            </w:pPr>
            <w:r w:rsidRPr="00445F7B">
              <w:rPr>
                <w:rFonts w:cs="Arial"/>
                <w:b/>
                <w:bCs/>
                <w:sz w:val="22"/>
                <w:szCs w:val="22"/>
              </w:rPr>
              <w:t>Visita guidata</w:t>
            </w:r>
            <w:r w:rsidRPr="00445F7B">
              <w:rPr>
                <w:rFonts w:cs="Arial"/>
                <w:sz w:val="22"/>
                <w:szCs w:val="22"/>
              </w:rPr>
              <w:t xml:space="preserve">. Luogo di ritrovo: </w:t>
            </w:r>
            <w:r w:rsidRPr="00445F7B">
              <w:rPr>
                <w:rFonts w:cs="Arial"/>
                <w:color w:val="000000"/>
                <w:sz w:val="22"/>
                <w:szCs w:val="22"/>
              </w:rPr>
              <w:t>DAVANTI AL PALAZZO DELLE POSTE.</w:t>
            </w:r>
            <w:r w:rsidRPr="00445F7B">
              <w:rPr>
                <w:rFonts w:cs="Arial"/>
                <w:sz w:val="22"/>
                <w:szCs w:val="22"/>
              </w:rPr>
              <w:t xml:space="preserve"> </w:t>
            </w:r>
          </w:p>
          <w:p w14:paraId="5E2C5CD8" w14:textId="7530737E" w:rsidR="00445F7B" w:rsidRPr="00445F7B" w:rsidRDefault="00445F7B" w:rsidP="00445F7B">
            <w:pPr>
              <w:rPr>
                <w:rFonts w:cs="Arial"/>
                <w:color w:val="000000"/>
                <w:sz w:val="22"/>
                <w:szCs w:val="22"/>
              </w:rPr>
            </w:pPr>
            <w:r w:rsidRPr="00445F7B">
              <w:rPr>
                <w:rFonts w:cs="Arial"/>
                <w:color w:val="000000"/>
                <w:sz w:val="22"/>
                <w:szCs w:val="22"/>
              </w:rPr>
              <w:t>Tema: l’integrazione tra le Arti nel periodo tra le due guerre </w:t>
            </w:r>
          </w:p>
          <w:p w14:paraId="0970D078" w14:textId="77777777" w:rsidR="003F5A0B" w:rsidRPr="00445F7B" w:rsidRDefault="003F5A0B" w:rsidP="00072385">
            <w:pPr>
              <w:jc w:val="right"/>
              <w:rPr>
                <w:rFonts w:cs="Arial"/>
                <w:b/>
                <w:bCs/>
                <w:sz w:val="22"/>
                <w:szCs w:val="22"/>
              </w:rPr>
            </w:pPr>
          </w:p>
        </w:tc>
      </w:tr>
    </w:tbl>
    <w:p w14:paraId="0DB233A9" w14:textId="77777777" w:rsidR="00072385" w:rsidRDefault="00072385" w:rsidP="00072385">
      <w:pPr>
        <w:rPr>
          <w:sz w:val="24"/>
        </w:rPr>
      </w:pPr>
    </w:p>
    <w:p w14:paraId="08748302" w14:textId="77777777" w:rsidR="00072385" w:rsidRDefault="00072385" w:rsidP="00072385">
      <w:pPr>
        <w:rPr>
          <w:sz w:val="24"/>
        </w:rPr>
      </w:pPr>
    </w:p>
    <w:p w14:paraId="3ED6DE41" w14:textId="77777777" w:rsidR="00072385" w:rsidRDefault="00072385" w:rsidP="00072385">
      <w:pPr>
        <w:rPr>
          <w:sz w:val="24"/>
        </w:rPr>
      </w:pPr>
    </w:p>
    <w:sectPr w:rsidR="00072385" w:rsidSect="00072385">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85"/>
    <w:rsid w:val="0006714E"/>
    <w:rsid w:val="00072385"/>
    <w:rsid w:val="00272A84"/>
    <w:rsid w:val="003F5A0B"/>
    <w:rsid w:val="00445F7B"/>
    <w:rsid w:val="00660A48"/>
    <w:rsid w:val="00AC7E24"/>
    <w:rsid w:val="00BE030B"/>
    <w:rsid w:val="00CB6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C9F9"/>
  <w15:chartTrackingRefBased/>
  <w15:docId w15:val="{ABCCFE8F-FC2E-44A4-B1A9-32386B84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385"/>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072385"/>
    <w:rPr>
      <w:sz w:val="20"/>
      <w:szCs w:val="20"/>
    </w:rPr>
  </w:style>
  <w:style w:type="character" w:customStyle="1" w:styleId="TestonotaapidipaginaCarattere">
    <w:name w:val="Testo nota a piè di pagina Carattere"/>
    <w:basedOn w:val="Carpredefinitoparagrafo"/>
    <w:link w:val="Testonotaapidipagina"/>
    <w:semiHidden/>
    <w:rsid w:val="00072385"/>
    <w:rPr>
      <w:rFonts w:ascii="Arial" w:eastAsia="Times New Roman" w:hAnsi="Arial" w:cs="Times New Roman"/>
      <w:sz w:val="20"/>
      <w:szCs w:val="20"/>
      <w:lang w:eastAsia="it-IT"/>
    </w:rPr>
  </w:style>
  <w:style w:type="paragraph" w:customStyle="1" w:styleId="TESTONORMALE">
    <w:name w:val="TESTO NORMALE"/>
    <w:rsid w:val="00072385"/>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rsid w:val="00072385"/>
    <w:pPr>
      <w:tabs>
        <w:tab w:val="center" w:pos="4819"/>
        <w:tab w:val="right" w:pos="9638"/>
      </w:tabs>
    </w:pPr>
  </w:style>
  <w:style w:type="character" w:customStyle="1" w:styleId="IntestazioneCarattere">
    <w:name w:val="Intestazione Carattere"/>
    <w:basedOn w:val="Carpredefinitoparagrafo"/>
    <w:link w:val="Intestazione"/>
    <w:rsid w:val="00072385"/>
    <w:rPr>
      <w:rFonts w:ascii="Arial" w:eastAsia="Times New Roman" w:hAnsi="Arial" w:cs="Times New Roman"/>
      <w:sz w:val="28"/>
      <w:szCs w:val="24"/>
      <w:lang w:eastAsia="it-IT"/>
    </w:rPr>
  </w:style>
  <w:style w:type="paragraph" w:styleId="Paragrafoelenco">
    <w:name w:val="List Paragraph"/>
    <w:basedOn w:val="Normale"/>
    <w:uiPriority w:val="34"/>
    <w:qFormat/>
    <w:rsid w:val="003F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5</cp:revision>
  <dcterms:created xsi:type="dcterms:W3CDTF">2022-06-16T23:03:00Z</dcterms:created>
  <dcterms:modified xsi:type="dcterms:W3CDTF">2022-06-27T11:04:00Z</dcterms:modified>
</cp:coreProperties>
</file>