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FA23" w14:textId="57976ADA" w:rsidR="003863DA" w:rsidRPr="00F877DD" w:rsidRDefault="00F877DD">
      <w:pPr>
        <w:rPr>
          <w:rFonts w:ascii="Bookman Old Style" w:hAnsi="Bookman Old Style"/>
          <w:i/>
          <w:iCs/>
          <w:sz w:val="32"/>
          <w:szCs w:val="32"/>
        </w:rPr>
      </w:pPr>
      <w:r w:rsidRPr="00F877DD">
        <w:rPr>
          <w:rFonts w:ascii="Bookman Old Style" w:hAnsi="Bookman Old Style"/>
          <w:i/>
          <w:iCs/>
          <w:sz w:val="32"/>
          <w:szCs w:val="32"/>
        </w:rPr>
        <w:t>Artisti in viaggio. Gli Orientalisti italiani tra Ottocento e Novecento</w:t>
      </w:r>
    </w:p>
    <w:p w14:paraId="66EB1B90" w14:textId="648D5281" w:rsidR="00F877DD" w:rsidRPr="00F877DD" w:rsidRDefault="00F877DD">
      <w:pPr>
        <w:rPr>
          <w:rFonts w:ascii="Bookman Old Style" w:hAnsi="Bookman Old Style"/>
          <w:sz w:val="32"/>
          <w:szCs w:val="32"/>
        </w:rPr>
      </w:pPr>
    </w:p>
    <w:p w14:paraId="1CA30DFC" w14:textId="2167C648" w:rsidR="00F877DD" w:rsidRPr="00F877DD" w:rsidRDefault="00F877DD">
      <w:pPr>
        <w:rPr>
          <w:rFonts w:ascii="Bookman Old Style" w:hAnsi="Bookman Old Style"/>
          <w:sz w:val="32"/>
          <w:szCs w:val="32"/>
        </w:rPr>
      </w:pPr>
      <w:r w:rsidRPr="00F877DD">
        <w:rPr>
          <w:rFonts w:ascii="Bookman Old Style" w:hAnsi="Bookman Old Style"/>
          <w:sz w:val="32"/>
          <w:szCs w:val="32"/>
        </w:rPr>
        <w:t>LEZIONE 1</w:t>
      </w:r>
    </w:p>
    <w:p w14:paraId="252E8183" w14:textId="296C7FE1" w:rsidR="00F877DD" w:rsidRDefault="00F877DD" w:rsidP="00F877DD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Nel panorama della storia dell’arte con il termine di Orientalismo si intende un </w:t>
      </w:r>
      <w:r w:rsidR="00845B5E">
        <w:rPr>
          <w:rFonts w:ascii="Bookman Old Style" w:hAnsi="Bookman Old Style"/>
          <w:sz w:val="32"/>
          <w:szCs w:val="32"/>
        </w:rPr>
        <w:t>filone</w:t>
      </w:r>
      <w:r>
        <w:rPr>
          <w:rFonts w:ascii="Bookman Old Style" w:hAnsi="Bookman Old Style"/>
          <w:sz w:val="32"/>
          <w:szCs w:val="32"/>
        </w:rPr>
        <w:t xml:space="preserve"> artistico nato nel primo Ottocento, secolo in cui </w:t>
      </w:r>
      <w:r w:rsidR="00845B5E">
        <w:rPr>
          <w:rFonts w:ascii="Bookman Old Style" w:hAnsi="Bookman Old Style"/>
          <w:sz w:val="32"/>
          <w:szCs w:val="32"/>
        </w:rPr>
        <w:t>l’orientalismo</w:t>
      </w:r>
      <w:r>
        <w:rPr>
          <w:rFonts w:ascii="Bookman Old Style" w:hAnsi="Bookman Old Style"/>
          <w:sz w:val="32"/>
          <w:szCs w:val="32"/>
        </w:rPr>
        <w:t xml:space="preserve"> ha goduto di grande fortuna critica e collezionistica. I temi </w:t>
      </w:r>
      <w:r w:rsidR="00845B5E">
        <w:rPr>
          <w:rFonts w:ascii="Bookman Old Style" w:hAnsi="Bookman Old Style"/>
          <w:sz w:val="32"/>
          <w:szCs w:val="32"/>
        </w:rPr>
        <w:t>affrontati</w:t>
      </w:r>
      <w:r>
        <w:rPr>
          <w:rFonts w:ascii="Bookman Old Style" w:hAnsi="Bookman Old Style"/>
          <w:sz w:val="32"/>
          <w:szCs w:val="32"/>
        </w:rPr>
        <w:t xml:space="preserve"> sono inerenti a</w:t>
      </w:r>
      <w:r w:rsidR="00C22F87">
        <w:rPr>
          <w:rFonts w:ascii="Bookman Old Style" w:hAnsi="Bookman Old Style"/>
          <w:sz w:val="32"/>
          <w:szCs w:val="32"/>
        </w:rPr>
        <w:t>lla</w:t>
      </w:r>
      <w:r>
        <w:rPr>
          <w:rFonts w:ascii="Bookman Old Style" w:hAnsi="Bookman Old Style"/>
          <w:sz w:val="32"/>
          <w:szCs w:val="32"/>
        </w:rPr>
        <w:t xml:space="preserve"> raffigurazione del mondo arabo, che viene rappresentato attraverso vedute e paesaggi, usi e costumi e tipologie ambientali. </w:t>
      </w:r>
    </w:p>
    <w:p w14:paraId="46637B6B" w14:textId="4114DB23" w:rsidR="00F877DD" w:rsidRDefault="00F877DD" w:rsidP="00F877DD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Il termine di Oriente, </w:t>
      </w:r>
      <w:r w:rsidR="00845B5E">
        <w:rPr>
          <w:rFonts w:ascii="Bookman Old Style" w:hAnsi="Bookman Old Style"/>
          <w:sz w:val="32"/>
          <w:szCs w:val="32"/>
        </w:rPr>
        <w:t>utilizzato</w:t>
      </w:r>
      <w:r>
        <w:rPr>
          <w:rFonts w:ascii="Bookman Old Style" w:hAnsi="Bookman Old Style"/>
          <w:sz w:val="32"/>
          <w:szCs w:val="32"/>
        </w:rPr>
        <w:t xml:space="preserve"> in contrapposizione alla cultura occidentale, è geograficamente vago e indefinito dal momento che raccoglie al proprio interno culture differenti accumunate </w:t>
      </w:r>
      <w:r w:rsidR="00C22F87">
        <w:rPr>
          <w:rFonts w:ascii="Bookman Old Style" w:hAnsi="Bookman Old Style"/>
          <w:sz w:val="32"/>
          <w:szCs w:val="32"/>
        </w:rPr>
        <w:t>d</w:t>
      </w:r>
      <w:r>
        <w:rPr>
          <w:rFonts w:ascii="Bookman Old Style" w:hAnsi="Bookman Old Style"/>
          <w:sz w:val="32"/>
          <w:szCs w:val="32"/>
        </w:rPr>
        <w:t xml:space="preserve">all’appartenenza al mondo islamico (dal Nord Africa, alla Turchia e all’antico impero persiano). </w:t>
      </w:r>
      <w:r w:rsidR="00C22F87">
        <w:rPr>
          <w:rFonts w:ascii="Bookman Old Style" w:hAnsi="Bookman Old Style"/>
          <w:sz w:val="32"/>
          <w:szCs w:val="32"/>
        </w:rPr>
        <w:t>Questo aspetto di indefinito che denota l’Orienta come una sorta di “luogo/non luogo” affonda le proprie radici culturali nell’immaginario proprio del Romanticismo, caratterizzato da una riscoperta dell’irrazionale, del fantasioso, dell’ingenuità e del sentimento in una più intima compenetrazione tra uomo e natura</w:t>
      </w:r>
      <w:r w:rsidR="006A7924">
        <w:rPr>
          <w:rFonts w:ascii="Bookman Old Style" w:hAnsi="Bookman Old Style"/>
          <w:sz w:val="32"/>
          <w:szCs w:val="32"/>
        </w:rPr>
        <w:t xml:space="preserve">, nonché </w:t>
      </w:r>
      <w:r w:rsidR="00E315E7">
        <w:rPr>
          <w:rFonts w:ascii="Bookman Old Style" w:hAnsi="Bookman Old Style"/>
          <w:sz w:val="32"/>
          <w:szCs w:val="32"/>
        </w:rPr>
        <w:t xml:space="preserve">attraverso </w:t>
      </w:r>
      <w:r w:rsidR="006A7924">
        <w:rPr>
          <w:rFonts w:ascii="Bookman Old Style" w:hAnsi="Bookman Old Style"/>
          <w:sz w:val="32"/>
          <w:szCs w:val="32"/>
        </w:rPr>
        <w:t>la ricerca di una mitica infanzia dell’arte</w:t>
      </w:r>
      <w:r w:rsidR="00C22F87">
        <w:rPr>
          <w:rFonts w:ascii="Bookman Old Style" w:hAnsi="Bookman Old Style"/>
          <w:sz w:val="32"/>
          <w:szCs w:val="32"/>
        </w:rPr>
        <w:t xml:space="preserve">. </w:t>
      </w:r>
      <w:r w:rsidR="006A7924">
        <w:rPr>
          <w:rFonts w:ascii="Bookman Old Style" w:hAnsi="Bookman Old Style"/>
          <w:sz w:val="32"/>
          <w:szCs w:val="32"/>
        </w:rPr>
        <w:t xml:space="preserve">Da questo assunto ne consegue che </w:t>
      </w:r>
      <w:r w:rsidR="00540D6E">
        <w:rPr>
          <w:rFonts w:ascii="Bookman Old Style" w:hAnsi="Bookman Old Style"/>
          <w:sz w:val="32"/>
          <w:szCs w:val="32"/>
        </w:rPr>
        <w:t xml:space="preserve">durante il Romanticismo </w:t>
      </w:r>
      <w:r w:rsidR="006A7924">
        <w:rPr>
          <w:rFonts w:ascii="Bookman Old Style" w:hAnsi="Bookman Old Style"/>
          <w:sz w:val="32"/>
          <w:szCs w:val="32"/>
        </w:rPr>
        <w:t xml:space="preserve">fonti d’ispirazione e modelli formali saranno </w:t>
      </w:r>
      <w:r w:rsidR="00DE1EB4">
        <w:rPr>
          <w:rFonts w:ascii="Bookman Old Style" w:hAnsi="Bookman Old Style"/>
          <w:sz w:val="32"/>
          <w:szCs w:val="32"/>
        </w:rPr>
        <w:t xml:space="preserve">per esempio </w:t>
      </w:r>
      <w:r w:rsidR="006A7924">
        <w:rPr>
          <w:rFonts w:ascii="Bookman Old Style" w:hAnsi="Bookman Old Style"/>
          <w:sz w:val="32"/>
          <w:szCs w:val="32"/>
        </w:rPr>
        <w:t xml:space="preserve">il Medioevo, la Cristianità, fonti letterarie come La </w:t>
      </w:r>
      <w:r w:rsidR="006A7924" w:rsidRPr="00DE1EB4">
        <w:rPr>
          <w:rFonts w:ascii="Bookman Old Style" w:hAnsi="Bookman Old Style"/>
          <w:i/>
          <w:iCs/>
          <w:sz w:val="32"/>
          <w:szCs w:val="32"/>
        </w:rPr>
        <w:t>Divina Commedia</w:t>
      </w:r>
      <w:r w:rsidR="006A7924">
        <w:rPr>
          <w:rFonts w:ascii="Bookman Old Style" w:hAnsi="Bookman Old Style"/>
          <w:sz w:val="32"/>
          <w:szCs w:val="32"/>
        </w:rPr>
        <w:t xml:space="preserve"> </w:t>
      </w:r>
      <w:r w:rsidR="00DE1EB4">
        <w:rPr>
          <w:rFonts w:ascii="Bookman Old Style" w:hAnsi="Bookman Old Style"/>
          <w:sz w:val="32"/>
          <w:szCs w:val="32"/>
        </w:rPr>
        <w:t>o</w:t>
      </w:r>
      <w:r w:rsidR="006A7924">
        <w:rPr>
          <w:rFonts w:ascii="Bookman Old Style" w:hAnsi="Bookman Old Style"/>
          <w:sz w:val="32"/>
          <w:szCs w:val="32"/>
        </w:rPr>
        <w:t xml:space="preserve"> le leggende nordiche (</w:t>
      </w:r>
      <w:r w:rsidR="00DE1EB4">
        <w:rPr>
          <w:rFonts w:ascii="Bookman Old Style" w:hAnsi="Bookman Old Style"/>
          <w:sz w:val="32"/>
          <w:szCs w:val="32"/>
        </w:rPr>
        <w:t>tra cui</w:t>
      </w:r>
      <w:r w:rsidR="006A7924">
        <w:rPr>
          <w:rFonts w:ascii="Bookman Old Style" w:hAnsi="Bookman Old Style"/>
          <w:sz w:val="32"/>
          <w:szCs w:val="32"/>
        </w:rPr>
        <w:t xml:space="preserve"> i fortunati </w:t>
      </w:r>
      <w:r w:rsidR="00DE1EB4" w:rsidRPr="00DE1EB4">
        <w:rPr>
          <w:rFonts w:ascii="Bookman Old Style" w:hAnsi="Bookman Old Style"/>
          <w:i/>
          <w:iCs/>
          <w:sz w:val="32"/>
          <w:szCs w:val="32"/>
        </w:rPr>
        <w:t>C</w:t>
      </w:r>
      <w:r w:rsidR="006A7924" w:rsidRPr="00DE1EB4">
        <w:rPr>
          <w:rFonts w:ascii="Bookman Old Style" w:hAnsi="Bookman Old Style"/>
          <w:i/>
          <w:iCs/>
          <w:sz w:val="32"/>
          <w:szCs w:val="32"/>
        </w:rPr>
        <w:t>anti di Ossian</w:t>
      </w:r>
      <w:r w:rsidR="006A7924">
        <w:rPr>
          <w:rFonts w:ascii="Bookman Old Style" w:hAnsi="Bookman Old Style"/>
          <w:sz w:val="32"/>
          <w:szCs w:val="32"/>
        </w:rPr>
        <w:t xml:space="preserve">) </w:t>
      </w:r>
      <w:r w:rsidR="00DE1EB4">
        <w:rPr>
          <w:rFonts w:ascii="Bookman Old Style" w:hAnsi="Bookman Old Style"/>
          <w:sz w:val="32"/>
          <w:szCs w:val="32"/>
        </w:rPr>
        <w:t>e</w:t>
      </w:r>
      <w:r w:rsidR="006A7924">
        <w:rPr>
          <w:rFonts w:ascii="Bookman Old Style" w:hAnsi="Bookman Old Style"/>
          <w:sz w:val="32"/>
          <w:szCs w:val="32"/>
        </w:rPr>
        <w:t xml:space="preserve">, appunto, </w:t>
      </w:r>
      <w:r w:rsidR="00540D6E">
        <w:rPr>
          <w:rFonts w:ascii="Bookman Old Style" w:hAnsi="Bookman Old Style"/>
          <w:sz w:val="32"/>
          <w:szCs w:val="32"/>
        </w:rPr>
        <w:t>la visione dei lontani e sognati paesi d</w:t>
      </w:r>
      <w:r w:rsidR="006A7924">
        <w:rPr>
          <w:rFonts w:ascii="Bookman Old Style" w:hAnsi="Bookman Old Style"/>
          <w:sz w:val="32"/>
          <w:szCs w:val="32"/>
        </w:rPr>
        <w:t>’Oriente</w:t>
      </w:r>
      <w:r w:rsidR="00540D6E">
        <w:rPr>
          <w:rFonts w:ascii="Bookman Old Style" w:hAnsi="Bookman Old Style"/>
          <w:sz w:val="32"/>
          <w:szCs w:val="32"/>
        </w:rPr>
        <w:t>.</w:t>
      </w:r>
    </w:p>
    <w:p w14:paraId="70066CFF" w14:textId="572FFC21" w:rsidR="00DE1EB4" w:rsidRDefault="00DE1EB4" w:rsidP="00F877DD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Oltre al contesto culturale sono da individuare altre premesse che concorrono alla nascita dell’Orientalismo nell’Ottocento:</w:t>
      </w:r>
    </w:p>
    <w:p w14:paraId="01D4AD95" w14:textId="582793FF" w:rsidR="00DE1EB4" w:rsidRDefault="00540D6E" w:rsidP="00DE1EB4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Eventi storici e politici. Esempio: le campagne condotte da Napoleone Bonaparte in Egitto (1798-1801), che </w:t>
      </w:r>
      <w:r>
        <w:rPr>
          <w:rFonts w:ascii="Bookman Old Style" w:hAnsi="Bookman Old Style"/>
          <w:sz w:val="32"/>
          <w:szCs w:val="32"/>
        </w:rPr>
        <w:lastRenderedPageBreak/>
        <w:t>consentono una conoscenza meno vaga dell’Oriente, grazie all’opera di studiosi come Dominique Vivant Denon</w:t>
      </w:r>
      <w:r w:rsidR="00845B5E">
        <w:rPr>
          <w:rFonts w:ascii="Bookman Old Style" w:hAnsi="Bookman Old Style"/>
          <w:sz w:val="32"/>
          <w:szCs w:val="32"/>
        </w:rPr>
        <w:t>,</w:t>
      </w:r>
      <w:r>
        <w:rPr>
          <w:rFonts w:ascii="Bookman Old Style" w:hAnsi="Bookman Old Style"/>
          <w:sz w:val="32"/>
          <w:szCs w:val="32"/>
        </w:rPr>
        <w:t xml:space="preserve"> autor</w:t>
      </w:r>
      <w:r w:rsidR="0024289D">
        <w:rPr>
          <w:rFonts w:ascii="Bookman Old Style" w:hAnsi="Bookman Old Style"/>
          <w:sz w:val="32"/>
          <w:szCs w:val="32"/>
        </w:rPr>
        <w:t>e</w:t>
      </w:r>
      <w:r>
        <w:rPr>
          <w:rFonts w:ascii="Bookman Old Style" w:hAnsi="Bookman Old Style"/>
          <w:sz w:val="32"/>
          <w:szCs w:val="32"/>
        </w:rPr>
        <w:t xml:space="preserve"> di opere fondamentali per una conoscenza più puntuale dell’Egitto. Il rinnovato interesse nei confronti della terra dei Faraoni comporta la nascita del fenomeno dell’Egittomania che</w:t>
      </w:r>
      <w:r w:rsidR="0024289D">
        <w:rPr>
          <w:rFonts w:ascii="Bookman Old Style" w:hAnsi="Bookman Old Style"/>
          <w:sz w:val="32"/>
          <w:szCs w:val="32"/>
        </w:rPr>
        <w:t xml:space="preserve"> diviene una vera e propria moda non solo in Francia ma anche in Italia (si vedano a questo proposito le Camere egizie, le arti applicate, la musica e la pittura).</w:t>
      </w:r>
    </w:p>
    <w:p w14:paraId="273692A5" w14:textId="6F16AC73" w:rsidR="00540D6E" w:rsidRDefault="00540D6E" w:rsidP="00DE1EB4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Maggiore circolazione di fonti e modelli iconografici (dall’incisione alla fotografia)</w:t>
      </w:r>
      <w:r w:rsidR="0024289D">
        <w:rPr>
          <w:rFonts w:ascii="Bookman Old Style" w:hAnsi="Bookman Old Style"/>
          <w:sz w:val="32"/>
          <w:szCs w:val="32"/>
        </w:rPr>
        <w:t xml:space="preserve"> che consentono agli artisti di avere dei materiali per l’ambientazione delle loro opere</w:t>
      </w:r>
      <w:r w:rsidR="00845B5E">
        <w:rPr>
          <w:rFonts w:ascii="Bookman Old Style" w:hAnsi="Bookman Old Style"/>
          <w:sz w:val="32"/>
          <w:szCs w:val="32"/>
        </w:rPr>
        <w:t>.</w:t>
      </w:r>
    </w:p>
    <w:p w14:paraId="766FB2AC" w14:textId="53E2B3D2" w:rsidR="0024289D" w:rsidRDefault="0024289D" w:rsidP="00DE1EB4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Incremento delle vie di comunicazione. Esempio: apertura del Canale di Suez nel 1869</w:t>
      </w:r>
      <w:r w:rsidR="00845B5E">
        <w:rPr>
          <w:rFonts w:ascii="Bookman Old Style" w:hAnsi="Bookman Old Style"/>
          <w:sz w:val="32"/>
          <w:szCs w:val="32"/>
        </w:rPr>
        <w:t>.</w:t>
      </w:r>
    </w:p>
    <w:p w14:paraId="7FD27E1B" w14:textId="5BCBB884" w:rsidR="0024289D" w:rsidRDefault="0024289D" w:rsidP="00DE1EB4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77468F">
        <w:rPr>
          <w:rFonts w:ascii="Bookman Old Style" w:hAnsi="Bookman Old Style"/>
          <w:sz w:val="32"/>
          <w:szCs w:val="32"/>
        </w:rPr>
        <w:t xml:space="preserve">Cambiamento </w:t>
      </w:r>
      <w:r w:rsidR="005C1E2E">
        <w:rPr>
          <w:rFonts w:ascii="Bookman Old Style" w:hAnsi="Bookman Old Style"/>
          <w:sz w:val="32"/>
          <w:szCs w:val="32"/>
        </w:rPr>
        <w:t>nel modo di intendere</w:t>
      </w:r>
      <w:r w:rsidRPr="0077468F">
        <w:rPr>
          <w:rFonts w:ascii="Bookman Old Style" w:hAnsi="Bookman Old Style"/>
          <w:sz w:val="32"/>
          <w:szCs w:val="32"/>
        </w:rPr>
        <w:t xml:space="preserve"> </w:t>
      </w:r>
      <w:r w:rsidR="005C1E2E">
        <w:rPr>
          <w:rFonts w:ascii="Bookman Old Style" w:hAnsi="Bookman Old Style"/>
          <w:sz w:val="32"/>
          <w:szCs w:val="32"/>
        </w:rPr>
        <w:t>il</w:t>
      </w:r>
      <w:r w:rsidRPr="0077468F">
        <w:rPr>
          <w:rFonts w:ascii="Bookman Old Style" w:hAnsi="Bookman Old Style"/>
          <w:sz w:val="32"/>
          <w:szCs w:val="32"/>
        </w:rPr>
        <w:t xml:space="preserve"> viaggio. Se nel corso del Settecento il Grand Tour era la soluzione più ambita dall’aristocrazia e dalla borghesia abbiente</w:t>
      </w:r>
      <w:r w:rsidR="0077468F" w:rsidRPr="0077468F">
        <w:rPr>
          <w:rFonts w:ascii="Bookman Old Style" w:hAnsi="Bookman Old Style"/>
          <w:sz w:val="32"/>
          <w:szCs w:val="32"/>
        </w:rPr>
        <w:t xml:space="preserve"> dell’epoca per visitare il continente europeo e in particolare l’Italia (destinazione prediletta per la ricchezza dei suoi reperti archeologici e del suo patrimonio artistico) nel corso dell’Ottocento – grazie alla diffusione delle vie di comunicazione – il viaggio diventa più facilmente affrontabile e organizzato, al punto che assisteremo alla nascita della prima agenzia di viaggi</w:t>
      </w:r>
      <w:r w:rsidR="0077468F">
        <w:rPr>
          <w:rFonts w:ascii="Bookman Old Style" w:hAnsi="Bookman Old Style"/>
          <w:sz w:val="32"/>
          <w:szCs w:val="32"/>
        </w:rPr>
        <w:t xml:space="preserve"> - </w:t>
      </w:r>
      <w:r w:rsidR="0077468F" w:rsidRPr="0077468F">
        <w:rPr>
          <w:rFonts w:ascii="Bookman Old Style" w:hAnsi="Bookman Old Style"/>
          <w:sz w:val="32"/>
          <w:szCs w:val="32"/>
        </w:rPr>
        <w:t>fondata in Inghilterra da Thomas Cook</w:t>
      </w:r>
      <w:r w:rsidR="0077468F">
        <w:rPr>
          <w:rFonts w:ascii="Bookman Old Style" w:hAnsi="Bookman Old Style"/>
          <w:sz w:val="32"/>
          <w:szCs w:val="32"/>
        </w:rPr>
        <w:t xml:space="preserve"> – e del concetto di turismo moderno</w:t>
      </w:r>
      <w:r w:rsidR="0077468F" w:rsidRPr="0077468F">
        <w:rPr>
          <w:rFonts w:ascii="Bookman Old Style" w:hAnsi="Bookman Old Style"/>
          <w:sz w:val="32"/>
          <w:szCs w:val="32"/>
        </w:rPr>
        <w:t>. In questo periodo storico il viaggio in Egitto, Siria e Palestina di</w:t>
      </w:r>
      <w:r w:rsidR="0077468F">
        <w:rPr>
          <w:rFonts w:ascii="Bookman Old Style" w:hAnsi="Bookman Old Style"/>
          <w:sz w:val="32"/>
          <w:szCs w:val="32"/>
        </w:rPr>
        <w:t>viene sogno di moltissimi viaggiatori occidentali, desiderosi di entrare in contatto con l’avventura e la fascinazione per l’esotico senza però rinunciare a</w:t>
      </w:r>
      <w:r w:rsidR="005C1E2E">
        <w:rPr>
          <w:rFonts w:ascii="Bookman Old Style" w:hAnsi="Bookman Old Style"/>
          <w:sz w:val="32"/>
          <w:szCs w:val="32"/>
        </w:rPr>
        <w:t>i</w:t>
      </w:r>
      <w:r w:rsidR="0077468F">
        <w:rPr>
          <w:rFonts w:ascii="Bookman Old Style" w:hAnsi="Bookman Old Style"/>
          <w:sz w:val="32"/>
          <w:szCs w:val="32"/>
        </w:rPr>
        <w:t xml:space="preserve"> comfort </w:t>
      </w:r>
      <w:r w:rsidR="005C1E2E">
        <w:rPr>
          <w:rFonts w:ascii="Bookman Old Style" w:hAnsi="Bookman Old Style"/>
          <w:sz w:val="32"/>
          <w:szCs w:val="32"/>
        </w:rPr>
        <w:t>del</w:t>
      </w:r>
      <w:r w:rsidR="0077468F">
        <w:rPr>
          <w:rFonts w:ascii="Bookman Old Style" w:hAnsi="Bookman Old Style"/>
          <w:sz w:val="32"/>
          <w:szCs w:val="32"/>
        </w:rPr>
        <w:t xml:space="preserve">la società di appartenenza. Una preziosa testimonianza di questo modo di affrontare il viaggio in Oriente ci viene </w:t>
      </w:r>
      <w:r w:rsidR="00563E9F">
        <w:rPr>
          <w:rFonts w:ascii="Bookman Old Style" w:hAnsi="Bookman Old Style"/>
          <w:sz w:val="32"/>
          <w:szCs w:val="32"/>
        </w:rPr>
        <w:t>raccontata</w:t>
      </w:r>
      <w:r w:rsidR="0077468F">
        <w:rPr>
          <w:rFonts w:ascii="Bookman Old Style" w:hAnsi="Bookman Old Style"/>
          <w:sz w:val="32"/>
          <w:szCs w:val="32"/>
        </w:rPr>
        <w:t xml:space="preserve"> </w:t>
      </w:r>
      <w:r w:rsidR="008A5A40">
        <w:rPr>
          <w:rFonts w:ascii="Bookman Old Style" w:hAnsi="Bookman Old Style"/>
          <w:sz w:val="32"/>
          <w:szCs w:val="32"/>
        </w:rPr>
        <w:t xml:space="preserve">da Dionigi Castelli la cui esperienza in Egitto, Siria e Palestina nel 1889 è raccolta ne </w:t>
      </w:r>
      <w:r w:rsidR="008A5A40" w:rsidRPr="008A5A40">
        <w:rPr>
          <w:rFonts w:ascii="Bookman Old Style" w:hAnsi="Bookman Old Style"/>
          <w:i/>
          <w:iCs/>
          <w:sz w:val="32"/>
          <w:szCs w:val="32"/>
        </w:rPr>
        <w:t>Il gran viaggio in Oriente di Dionigi Castelli</w:t>
      </w:r>
      <w:r w:rsidR="00563E9F">
        <w:rPr>
          <w:rFonts w:ascii="Bookman Old Style" w:hAnsi="Bookman Old Style"/>
          <w:sz w:val="32"/>
          <w:szCs w:val="32"/>
        </w:rPr>
        <w:t xml:space="preserve">. Coloro che non avevano la possibilità di intraprendere un </w:t>
      </w:r>
      <w:r w:rsidR="00563E9F">
        <w:rPr>
          <w:rFonts w:ascii="Bookman Old Style" w:hAnsi="Bookman Old Style"/>
          <w:sz w:val="32"/>
          <w:szCs w:val="32"/>
        </w:rPr>
        <w:lastRenderedPageBreak/>
        <w:t xml:space="preserve">vero e proprio viaggio potevano comunque, </w:t>
      </w:r>
      <w:r w:rsidR="005C1E2E">
        <w:rPr>
          <w:rFonts w:ascii="Bookman Old Style" w:hAnsi="Bookman Old Style"/>
          <w:sz w:val="32"/>
          <w:szCs w:val="32"/>
        </w:rPr>
        <w:t>senza varcare fisicamente i confini dell’Europa</w:t>
      </w:r>
      <w:r w:rsidR="00563E9F">
        <w:rPr>
          <w:rFonts w:ascii="Bookman Old Style" w:hAnsi="Bookman Old Style"/>
          <w:sz w:val="32"/>
          <w:szCs w:val="32"/>
        </w:rPr>
        <w:t xml:space="preserve">, entrare in contatto con l’Oriente attraverso le esposizioni universali - “invenzione” peculiare tipica dell’Ottocento – con i suoi panorami, i suoi padiglioni </w:t>
      </w:r>
      <w:r w:rsidR="005C1E2E">
        <w:rPr>
          <w:rFonts w:ascii="Bookman Old Style" w:hAnsi="Bookman Old Style"/>
          <w:sz w:val="32"/>
          <w:szCs w:val="32"/>
        </w:rPr>
        <w:t xml:space="preserve">e le sue ricostruzioni d’ambiente. </w:t>
      </w:r>
    </w:p>
    <w:p w14:paraId="3172875B" w14:textId="0CF783FE" w:rsidR="005C1E2E" w:rsidRDefault="005C1E2E" w:rsidP="00DE1EB4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Diffusione delle fonti letterarie (non solo di carattere descrittivo, ma anche poetico e narrativo), che avranno una non trascurabile influenza in merito ai temi utilizzati dai pittori orientalisti. Un esempio può essere rappresentato dalla tragedia </w:t>
      </w:r>
      <w:proofErr w:type="spellStart"/>
      <w:r w:rsidRPr="005C1E2E">
        <w:rPr>
          <w:rFonts w:ascii="Bookman Old Style" w:hAnsi="Bookman Old Style"/>
          <w:i/>
          <w:iCs/>
          <w:sz w:val="32"/>
          <w:szCs w:val="32"/>
        </w:rPr>
        <w:t>Sardanapalus</w:t>
      </w:r>
      <w:proofErr w:type="spellEnd"/>
      <w:r>
        <w:rPr>
          <w:rFonts w:ascii="Bookman Old Style" w:hAnsi="Bookman Old Style"/>
          <w:sz w:val="32"/>
          <w:szCs w:val="32"/>
        </w:rPr>
        <w:t xml:space="preserve"> di Lord Byron pubblicata a Londra nel 1821. Da quest’opera trae ispirazione Eugène Delacroix per l’esecuzione del dipinto intitolato </w:t>
      </w:r>
      <w:r w:rsidRPr="005C1E2E">
        <w:rPr>
          <w:rFonts w:ascii="Bookman Old Style" w:hAnsi="Bookman Old Style"/>
          <w:i/>
          <w:iCs/>
          <w:sz w:val="32"/>
          <w:szCs w:val="32"/>
        </w:rPr>
        <w:t>La morte di Sardanapalo</w:t>
      </w:r>
      <w:r>
        <w:rPr>
          <w:rFonts w:ascii="Bookman Old Style" w:hAnsi="Bookman Old Style"/>
          <w:sz w:val="32"/>
          <w:szCs w:val="32"/>
        </w:rPr>
        <w:t xml:space="preserve">, che viene presentata in occasione del Salon di Parigi del 1828 dove suscitò grande scandalo in virtù </w:t>
      </w:r>
      <w:r w:rsidR="00845B5E">
        <w:rPr>
          <w:rFonts w:ascii="Bookman Old Style" w:hAnsi="Bookman Old Style"/>
          <w:sz w:val="32"/>
          <w:szCs w:val="32"/>
        </w:rPr>
        <w:t>degli accostamenti cromatici</w:t>
      </w:r>
      <w:r>
        <w:rPr>
          <w:rFonts w:ascii="Bookman Old Style" w:hAnsi="Bookman Old Style"/>
          <w:sz w:val="32"/>
          <w:szCs w:val="32"/>
        </w:rPr>
        <w:t xml:space="preserve">. </w:t>
      </w:r>
    </w:p>
    <w:p w14:paraId="5A123933" w14:textId="1D458072" w:rsidR="00E1772C" w:rsidRPr="00E1772C" w:rsidRDefault="00E1772C" w:rsidP="00E1772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Delacroix può essere considerato uno dei più celebri pittori orientalisti del Romanticismo francese</w:t>
      </w:r>
      <w:r w:rsidR="00E150DC">
        <w:rPr>
          <w:rFonts w:ascii="Bookman Old Style" w:hAnsi="Bookman Old Style"/>
          <w:sz w:val="32"/>
          <w:szCs w:val="32"/>
        </w:rPr>
        <w:t xml:space="preserve">. La sua adesione a questo filone diviene più stringente a seguito del viaggio compiuto nel 1832 in Algeria, Marocco e </w:t>
      </w:r>
      <w:r w:rsidR="008B06E7">
        <w:rPr>
          <w:rFonts w:ascii="Bookman Old Style" w:hAnsi="Bookman Old Style"/>
          <w:sz w:val="32"/>
          <w:szCs w:val="32"/>
        </w:rPr>
        <w:t xml:space="preserve">Spagna </w:t>
      </w:r>
      <w:r w:rsidR="00845B5E">
        <w:rPr>
          <w:rFonts w:ascii="Bookman Old Style" w:hAnsi="Bookman Old Style"/>
          <w:sz w:val="32"/>
          <w:szCs w:val="32"/>
        </w:rPr>
        <w:t>a seguito della missione diplomatica francese in relazione alla guerra d’Algeria che la Francia intraprende a partire dal 1830 (</w:t>
      </w:r>
      <w:r w:rsidR="00845B5E" w:rsidRPr="00845B5E">
        <w:rPr>
          <w:rFonts w:ascii="Bookman Old Style" w:hAnsi="Bookman Old Style"/>
          <w:i/>
          <w:iCs/>
          <w:sz w:val="32"/>
          <w:szCs w:val="32"/>
        </w:rPr>
        <w:t>Donne di Algeri nelle loro stanze</w:t>
      </w:r>
      <w:r w:rsidR="00845B5E">
        <w:rPr>
          <w:rFonts w:ascii="Bookman Old Style" w:hAnsi="Bookman Old Style"/>
          <w:sz w:val="32"/>
          <w:szCs w:val="32"/>
        </w:rPr>
        <w:t xml:space="preserve">, 1834). Se in Delacroix l’esperienza </w:t>
      </w:r>
      <w:r w:rsidR="00A863BD">
        <w:rPr>
          <w:rFonts w:ascii="Bookman Old Style" w:hAnsi="Bookman Old Style"/>
          <w:sz w:val="32"/>
          <w:szCs w:val="32"/>
        </w:rPr>
        <w:t>orientalista</w:t>
      </w:r>
      <w:r w:rsidR="00845B5E">
        <w:rPr>
          <w:rFonts w:ascii="Bookman Old Style" w:hAnsi="Bookman Old Style"/>
          <w:sz w:val="32"/>
          <w:szCs w:val="32"/>
        </w:rPr>
        <w:t xml:space="preserve"> si declina attraverso </w:t>
      </w:r>
      <w:r w:rsidR="00A863BD">
        <w:rPr>
          <w:rFonts w:ascii="Bookman Old Style" w:hAnsi="Bookman Old Style"/>
          <w:sz w:val="32"/>
          <w:szCs w:val="32"/>
        </w:rPr>
        <w:t xml:space="preserve">una visione diretta dell’Oriente, </w:t>
      </w:r>
      <w:r w:rsidR="00845B5E">
        <w:rPr>
          <w:rFonts w:ascii="Bookman Old Style" w:hAnsi="Bookman Old Style"/>
          <w:sz w:val="32"/>
          <w:szCs w:val="32"/>
        </w:rPr>
        <w:t xml:space="preserve">questo non vale per altri artisti, come Jean-August Dominique Ingres, che ricostruiscono le atmosfere </w:t>
      </w:r>
      <w:r w:rsidR="00A863BD">
        <w:rPr>
          <w:rFonts w:ascii="Bookman Old Style" w:hAnsi="Bookman Old Style"/>
          <w:sz w:val="32"/>
          <w:szCs w:val="32"/>
        </w:rPr>
        <w:t>di paesi lontani</w:t>
      </w:r>
      <w:r w:rsidR="00845B5E">
        <w:rPr>
          <w:rFonts w:ascii="Bookman Old Style" w:hAnsi="Bookman Old Style"/>
          <w:sz w:val="32"/>
          <w:szCs w:val="32"/>
        </w:rPr>
        <w:t xml:space="preserve"> </w:t>
      </w:r>
      <w:r w:rsidR="00CE3778">
        <w:rPr>
          <w:rFonts w:ascii="Bookman Old Style" w:hAnsi="Bookman Old Style"/>
          <w:sz w:val="32"/>
          <w:szCs w:val="32"/>
        </w:rPr>
        <w:t xml:space="preserve">ed esotici </w:t>
      </w:r>
      <w:r w:rsidR="00845B5E">
        <w:rPr>
          <w:rFonts w:ascii="Bookman Old Style" w:hAnsi="Bookman Old Style"/>
          <w:sz w:val="32"/>
          <w:szCs w:val="32"/>
        </w:rPr>
        <w:t xml:space="preserve">dal loro atelier e servendosi di fonti iconografiche e letterarie. Per l’esecuzione del </w:t>
      </w:r>
      <w:r w:rsidR="00845B5E" w:rsidRPr="00A863BD">
        <w:rPr>
          <w:rFonts w:ascii="Bookman Old Style" w:hAnsi="Bookman Old Style"/>
          <w:i/>
          <w:iCs/>
          <w:sz w:val="32"/>
          <w:szCs w:val="32"/>
        </w:rPr>
        <w:t>Bagno turco</w:t>
      </w:r>
      <w:r w:rsidR="00845B5E">
        <w:rPr>
          <w:rFonts w:ascii="Bookman Old Style" w:hAnsi="Bookman Old Style"/>
          <w:sz w:val="32"/>
          <w:szCs w:val="32"/>
        </w:rPr>
        <w:t xml:space="preserve"> (1848-1863) Ingres utilizz</w:t>
      </w:r>
      <w:r w:rsidR="00A863BD">
        <w:rPr>
          <w:rFonts w:ascii="Bookman Old Style" w:hAnsi="Bookman Old Style"/>
          <w:sz w:val="32"/>
          <w:szCs w:val="32"/>
        </w:rPr>
        <w:t xml:space="preserve">a per esempio </w:t>
      </w:r>
      <w:r w:rsidR="00CE3778">
        <w:rPr>
          <w:rFonts w:ascii="Bookman Old Style" w:hAnsi="Bookman Old Style"/>
          <w:sz w:val="32"/>
          <w:szCs w:val="32"/>
        </w:rPr>
        <w:t>le</w:t>
      </w:r>
      <w:r w:rsidR="00A863BD">
        <w:rPr>
          <w:rFonts w:ascii="Bookman Old Style" w:hAnsi="Bookman Old Style"/>
          <w:sz w:val="32"/>
          <w:szCs w:val="32"/>
        </w:rPr>
        <w:t xml:space="preserve"> </w:t>
      </w:r>
      <w:r w:rsidR="00CE3778">
        <w:rPr>
          <w:rFonts w:ascii="Bookman Old Style" w:hAnsi="Bookman Old Style"/>
          <w:sz w:val="32"/>
          <w:szCs w:val="32"/>
        </w:rPr>
        <w:t xml:space="preserve">celebri </w:t>
      </w:r>
      <w:r w:rsidR="00A863BD">
        <w:rPr>
          <w:rFonts w:ascii="Bookman Old Style" w:hAnsi="Bookman Old Style"/>
          <w:sz w:val="32"/>
          <w:szCs w:val="32"/>
        </w:rPr>
        <w:t xml:space="preserve">lettere di Lady Mary </w:t>
      </w:r>
      <w:proofErr w:type="spellStart"/>
      <w:r w:rsidR="00A863BD">
        <w:rPr>
          <w:rFonts w:ascii="Bookman Old Style" w:hAnsi="Bookman Old Style"/>
          <w:sz w:val="32"/>
          <w:szCs w:val="32"/>
        </w:rPr>
        <w:t>Worthley</w:t>
      </w:r>
      <w:proofErr w:type="spellEnd"/>
      <w:r w:rsidR="00A863BD">
        <w:rPr>
          <w:rFonts w:ascii="Bookman Old Style" w:hAnsi="Bookman Old Style"/>
          <w:sz w:val="32"/>
          <w:szCs w:val="32"/>
        </w:rPr>
        <w:t xml:space="preserve"> Montagu, </w:t>
      </w:r>
      <w:r w:rsidR="00CE3778">
        <w:rPr>
          <w:rFonts w:ascii="Bookman Old Style" w:hAnsi="Bookman Old Style"/>
          <w:sz w:val="32"/>
          <w:szCs w:val="32"/>
        </w:rPr>
        <w:t>scrittrice</w:t>
      </w:r>
      <w:r w:rsidR="00A863BD">
        <w:rPr>
          <w:rFonts w:ascii="Bookman Old Style" w:hAnsi="Bookman Old Style"/>
          <w:sz w:val="32"/>
          <w:szCs w:val="32"/>
        </w:rPr>
        <w:t xml:space="preserve"> inglese che soggiornò in Turchia tra il 1716 e il 1718.</w:t>
      </w:r>
    </w:p>
    <w:sectPr w:rsidR="00E1772C" w:rsidRPr="00E17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390"/>
    <w:multiLevelType w:val="hybridMultilevel"/>
    <w:tmpl w:val="629429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DD"/>
    <w:rsid w:val="0024289D"/>
    <w:rsid w:val="003863DA"/>
    <w:rsid w:val="00540D6E"/>
    <w:rsid w:val="00563E9F"/>
    <w:rsid w:val="005C1E2E"/>
    <w:rsid w:val="006A7924"/>
    <w:rsid w:val="0077468F"/>
    <w:rsid w:val="00845B5E"/>
    <w:rsid w:val="00870223"/>
    <w:rsid w:val="008A5A40"/>
    <w:rsid w:val="008B06E7"/>
    <w:rsid w:val="00A863BD"/>
    <w:rsid w:val="00C22F87"/>
    <w:rsid w:val="00CE3778"/>
    <w:rsid w:val="00DE1EB4"/>
    <w:rsid w:val="00E150DC"/>
    <w:rsid w:val="00E1772C"/>
    <w:rsid w:val="00E315E7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1C4B"/>
  <w15:chartTrackingRefBased/>
  <w15:docId w15:val="{22FC0C8A-9B6D-4E40-9934-99754CD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capponi</dc:creator>
  <cp:keywords/>
  <dc:description/>
  <cp:lastModifiedBy>silvia capponi</cp:lastModifiedBy>
  <cp:revision>8</cp:revision>
  <dcterms:created xsi:type="dcterms:W3CDTF">2022-11-03T08:49:00Z</dcterms:created>
  <dcterms:modified xsi:type="dcterms:W3CDTF">2022-11-08T10:53:00Z</dcterms:modified>
</cp:coreProperties>
</file>