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D" w:rsidRPr="00891A58" w:rsidRDefault="00891A58" w:rsidP="00891A58">
      <w:pPr>
        <w:spacing w:after="0" w:line="240" w:lineRule="auto"/>
        <w:rPr>
          <w:rFonts w:ascii="Times New Roman" w:hAnsi="Times New Roman" w:cs="Times New Roman"/>
          <w:b/>
          <w:sz w:val="24"/>
          <w:szCs w:val="24"/>
        </w:rPr>
      </w:pPr>
      <w:r w:rsidRPr="00891A58">
        <w:rPr>
          <w:rFonts w:ascii="Times New Roman" w:hAnsi="Times New Roman" w:cs="Times New Roman"/>
          <w:b/>
          <w:sz w:val="24"/>
          <w:szCs w:val="24"/>
        </w:rPr>
        <w:t>2</w:t>
      </w:r>
      <w:r w:rsidR="001D5B23">
        <w:rPr>
          <w:rFonts w:ascii="Times New Roman" w:hAnsi="Times New Roman" w:cs="Times New Roman"/>
          <w:b/>
          <w:sz w:val="24"/>
          <w:szCs w:val="24"/>
        </w:rPr>
        <w:t>9</w:t>
      </w:r>
      <w:r w:rsidRPr="00891A58">
        <w:rPr>
          <w:rFonts w:ascii="Times New Roman" w:hAnsi="Times New Roman" w:cs="Times New Roman"/>
          <w:b/>
          <w:sz w:val="24"/>
          <w:szCs w:val="24"/>
        </w:rPr>
        <w:t>.</w:t>
      </w:r>
      <w:r w:rsidR="00522C26">
        <w:rPr>
          <w:rFonts w:ascii="Times New Roman" w:hAnsi="Times New Roman" w:cs="Times New Roman"/>
          <w:b/>
          <w:sz w:val="24"/>
          <w:szCs w:val="24"/>
        </w:rPr>
        <w:t xml:space="preserve"> </w:t>
      </w:r>
    </w:p>
    <w:p w:rsidR="009753CA" w:rsidRDefault="001D5B23" w:rsidP="0077501B">
      <w:pPr>
        <w:spacing w:after="0" w:line="240" w:lineRule="auto"/>
        <w:rPr>
          <w:rFonts w:ascii="Times New Roman" w:hAnsi="Times New Roman" w:cs="Times New Roman"/>
          <w:b/>
          <w:sz w:val="24"/>
          <w:szCs w:val="24"/>
        </w:rPr>
      </w:pPr>
      <w:r>
        <w:rPr>
          <w:rFonts w:ascii="Times New Roman" w:hAnsi="Times New Roman" w:cs="Times New Roman"/>
          <w:b/>
          <w:sz w:val="24"/>
          <w:szCs w:val="24"/>
        </w:rPr>
        <w:t>Tommaso d’Aquino</w:t>
      </w:r>
      <w:r w:rsidR="00522C26">
        <w:rPr>
          <w:rFonts w:ascii="Times New Roman" w:hAnsi="Times New Roman" w:cs="Times New Roman"/>
          <w:b/>
          <w:sz w:val="24"/>
          <w:szCs w:val="24"/>
        </w:rPr>
        <w:t xml:space="preserve">  </w:t>
      </w:r>
      <w:r w:rsidR="00522C26" w:rsidRPr="00522C26">
        <w:rPr>
          <w:rFonts w:ascii="Times New Roman" w:hAnsi="Times New Roman" w:cs="Times New Roman"/>
          <w:sz w:val="24"/>
          <w:szCs w:val="24"/>
        </w:rPr>
        <w:t>(1125-1274)</w:t>
      </w:r>
      <w:r w:rsidR="00522C26">
        <w:rPr>
          <w:rFonts w:ascii="Times New Roman" w:hAnsi="Times New Roman" w:cs="Times New Roman"/>
          <w:b/>
          <w:sz w:val="24"/>
          <w:szCs w:val="24"/>
        </w:rPr>
        <w:t xml:space="preserve">  </w:t>
      </w:r>
      <w:r w:rsidR="00FC3415" w:rsidRPr="00522C26">
        <w:rPr>
          <w:rFonts w:ascii="Times New Roman" w:hAnsi="Times New Roman"/>
          <w:i/>
          <w:sz w:val="24"/>
          <w:lang w:val="la-Latn"/>
        </w:rPr>
        <w:t xml:space="preserve"> </w:t>
      </w:r>
      <w:r w:rsidR="00522C26" w:rsidRPr="00522C26">
        <w:rPr>
          <w:rFonts w:ascii="Times New Roman" w:hAnsi="Times New Roman"/>
          <w:i/>
          <w:sz w:val="24"/>
          <w:lang w:val="la-Latn"/>
        </w:rPr>
        <w:t>naturalis inclinatio voluntatis obsequitur caritati</w:t>
      </w:r>
    </w:p>
    <w:p w:rsidR="000C4B20" w:rsidRPr="000C4B20" w:rsidRDefault="000C4B20" w:rsidP="0077501B">
      <w:pPr>
        <w:spacing w:after="0" w:line="240" w:lineRule="auto"/>
        <w:rPr>
          <w:rFonts w:ascii="Times New Roman" w:hAnsi="Times New Roman" w:cs="Times New Roman"/>
          <w:sz w:val="4"/>
          <w:szCs w:val="24"/>
        </w:rPr>
      </w:pPr>
    </w:p>
    <w:p w:rsidR="00CD3243" w:rsidRDefault="00125E13" w:rsidP="0077501B">
      <w:pPr>
        <w:spacing w:after="0" w:line="240" w:lineRule="auto"/>
        <w:rPr>
          <w:rFonts w:ascii="Times New Roman" w:hAnsi="Times New Roman" w:cs="Times New Roman"/>
          <w:sz w:val="24"/>
          <w:szCs w:val="24"/>
        </w:rPr>
      </w:pPr>
      <w:r w:rsidRPr="00125E13">
        <w:rPr>
          <w:rFonts w:ascii="Times New Roman" w:hAnsi="Times New Roman" w:cs="Times New Roman"/>
          <w:sz w:val="24"/>
          <w:szCs w:val="24"/>
        </w:rPr>
        <w:t xml:space="preserve">Nella </w:t>
      </w:r>
      <w:r w:rsidRPr="00125E13">
        <w:rPr>
          <w:rFonts w:ascii="Times New Roman" w:hAnsi="Times New Roman" w:cs="Times New Roman"/>
          <w:i/>
          <w:sz w:val="24"/>
          <w:szCs w:val="24"/>
        </w:rPr>
        <w:t>quaestio</w:t>
      </w:r>
      <w:r w:rsidRPr="00125E13">
        <w:rPr>
          <w:rFonts w:ascii="Times New Roman" w:hAnsi="Times New Roman" w:cs="Times New Roman"/>
          <w:sz w:val="24"/>
          <w:szCs w:val="24"/>
        </w:rPr>
        <w:t xml:space="preserve"> </w:t>
      </w:r>
      <w:r>
        <w:rPr>
          <w:rFonts w:ascii="Times New Roman" w:hAnsi="Times New Roman" w:cs="Times New Roman"/>
          <w:sz w:val="24"/>
          <w:szCs w:val="24"/>
        </w:rPr>
        <w:t xml:space="preserve">e nei suoi articoli </w:t>
      </w:r>
      <w:r w:rsidRPr="00125E13">
        <w:rPr>
          <w:rFonts w:ascii="Times New Roman" w:hAnsi="Times New Roman" w:cs="Times New Roman"/>
          <w:sz w:val="24"/>
          <w:szCs w:val="24"/>
        </w:rPr>
        <w:t>è modulata</w:t>
      </w:r>
      <w:r>
        <w:rPr>
          <w:rFonts w:ascii="Times New Roman" w:hAnsi="Times New Roman" w:cs="Times New Roman"/>
          <w:sz w:val="24"/>
          <w:szCs w:val="24"/>
        </w:rPr>
        <w:t xml:space="preserve"> la produzione culturale delle </w:t>
      </w:r>
      <w:proofErr w:type="spellStart"/>
      <w:r w:rsidRPr="00125E13">
        <w:rPr>
          <w:rFonts w:ascii="Times New Roman" w:hAnsi="Times New Roman" w:cs="Times New Roman"/>
          <w:i/>
          <w:sz w:val="24"/>
          <w:szCs w:val="24"/>
        </w:rPr>
        <w:t>scholae</w:t>
      </w:r>
      <w:proofErr w:type="spellEnd"/>
      <w:r>
        <w:rPr>
          <w:rFonts w:ascii="Times New Roman" w:hAnsi="Times New Roman" w:cs="Times New Roman"/>
          <w:sz w:val="24"/>
          <w:szCs w:val="24"/>
        </w:rPr>
        <w:t xml:space="preserve"> medievali. Consegnata ad una struttura di carattere sillogistico, la </w:t>
      </w:r>
      <w:r w:rsidRPr="009A046F">
        <w:rPr>
          <w:rFonts w:ascii="Times New Roman" w:hAnsi="Times New Roman" w:cs="Times New Roman"/>
          <w:i/>
          <w:sz w:val="24"/>
          <w:szCs w:val="24"/>
        </w:rPr>
        <w:t>quaestio</w:t>
      </w:r>
      <w:r>
        <w:rPr>
          <w:rFonts w:ascii="Times New Roman" w:hAnsi="Times New Roman" w:cs="Times New Roman"/>
          <w:sz w:val="24"/>
          <w:szCs w:val="24"/>
        </w:rPr>
        <w:t xml:space="preserve"> trasforma il lascito delle </w:t>
      </w:r>
      <w:proofErr w:type="spellStart"/>
      <w:r w:rsidRPr="00125E13">
        <w:rPr>
          <w:rFonts w:ascii="Times New Roman" w:hAnsi="Times New Roman" w:cs="Times New Roman"/>
          <w:i/>
          <w:sz w:val="24"/>
          <w:szCs w:val="24"/>
        </w:rPr>
        <w:t>auctoritates</w:t>
      </w:r>
      <w:proofErr w:type="spellEnd"/>
      <w:r>
        <w:rPr>
          <w:rFonts w:ascii="Times New Roman" w:hAnsi="Times New Roman" w:cs="Times New Roman"/>
          <w:sz w:val="24"/>
          <w:szCs w:val="24"/>
        </w:rPr>
        <w:t xml:space="preserve"> in procedure e materiale di ragionamento. Si tratta di un modulo che ripetuto su ogni argomento possibile compone i volumi delle </w:t>
      </w:r>
      <w:proofErr w:type="spellStart"/>
      <w:r w:rsidRPr="00125E13">
        <w:rPr>
          <w:rFonts w:ascii="Times New Roman" w:hAnsi="Times New Roman" w:cs="Times New Roman"/>
          <w:i/>
          <w:sz w:val="24"/>
          <w:szCs w:val="24"/>
        </w:rPr>
        <w:t>Summae</w:t>
      </w:r>
      <w:proofErr w:type="spellEnd"/>
      <w:r>
        <w:rPr>
          <w:rFonts w:ascii="Times New Roman" w:hAnsi="Times New Roman" w:cs="Times New Roman"/>
          <w:sz w:val="24"/>
          <w:szCs w:val="24"/>
        </w:rPr>
        <w:t xml:space="preserve"> medievali come accade nella </w:t>
      </w:r>
      <w:r w:rsidRPr="00125E13">
        <w:rPr>
          <w:rFonts w:ascii="Times New Roman" w:hAnsi="Times New Roman" w:cs="Times New Roman"/>
          <w:i/>
          <w:sz w:val="24"/>
          <w:szCs w:val="24"/>
        </w:rPr>
        <w:t xml:space="preserve">Summa </w:t>
      </w:r>
      <w:proofErr w:type="spellStart"/>
      <w:r w:rsidRPr="00125E13">
        <w:rPr>
          <w:rFonts w:ascii="Times New Roman" w:hAnsi="Times New Roman" w:cs="Times New Roman"/>
          <w:i/>
          <w:sz w:val="24"/>
          <w:szCs w:val="24"/>
        </w:rPr>
        <w:t>Theologica</w:t>
      </w:r>
      <w:proofErr w:type="spellEnd"/>
      <w:r>
        <w:rPr>
          <w:rFonts w:ascii="Times New Roman" w:hAnsi="Times New Roman" w:cs="Times New Roman"/>
          <w:sz w:val="24"/>
          <w:szCs w:val="24"/>
        </w:rPr>
        <w:t xml:space="preserve"> di Tommaso d’Aquino</w:t>
      </w:r>
      <w:r w:rsidR="009A046F">
        <w:rPr>
          <w:rFonts w:ascii="Times New Roman" w:hAnsi="Times New Roman" w:cs="Times New Roman"/>
          <w:sz w:val="24"/>
          <w:szCs w:val="24"/>
        </w:rPr>
        <w:t xml:space="preserve"> (2669 articoli in 512 questioni + parti incomplete). </w:t>
      </w:r>
    </w:p>
    <w:p w:rsidR="009A046F" w:rsidRDefault="009A046F" w:rsidP="00775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È una struttura formale che permette l’incontro e l’incrocio tra </w:t>
      </w:r>
      <w:proofErr w:type="spellStart"/>
      <w:r w:rsidRPr="00A575CC">
        <w:rPr>
          <w:rFonts w:ascii="Times New Roman" w:hAnsi="Times New Roman" w:cs="Times New Roman"/>
          <w:i/>
          <w:sz w:val="24"/>
          <w:szCs w:val="24"/>
        </w:rPr>
        <w:t>auctoritares</w:t>
      </w:r>
      <w:proofErr w:type="spellEnd"/>
      <w:r>
        <w:rPr>
          <w:rFonts w:ascii="Times New Roman" w:hAnsi="Times New Roman" w:cs="Times New Roman"/>
          <w:sz w:val="24"/>
          <w:szCs w:val="24"/>
        </w:rPr>
        <w:t xml:space="preserve"> dalle più disparate provenienze: Bibbia, Padri e Dottori della Chiesa, Concili e Papi, autori greci, latini, arabi, ebrei. </w:t>
      </w:r>
      <w:r w:rsidR="00A575CC">
        <w:rPr>
          <w:rFonts w:ascii="Times New Roman" w:hAnsi="Times New Roman" w:cs="Times New Roman"/>
          <w:sz w:val="24"/>
          <w:szCs w:val="24"/>
        </w:rPr>
        <w:t>In u</w:t>
      </w:r>
      <w:r>
        <w:rPr>
          <w:rFonts w:ascii="Times New Roman" w:hAnsi="Times New Roman" w:cs="Times New Roman"/>
          <w:sz w:val="24"/>
          <w:szCs w:val="24"/>
        </w:rPr>
        <w:t xml:space="preserve">n confronto a più livelli: si confrontano posizioni di autori ed epoche per proporre risultati ragionati, ma a comporsi e confrontarsi sono anche i modi di essere dell’uomo, le sue diverse facoltà e abilità </w:t>
      </w:r>
      <w:r w:rsidR="008A3CA4">
        <w:rPr>
          <w:rFonts w:ascii="Times New Roman" w:hAnsi="Times New Roman" w:cs="Times New Roman"/>
          <w:sz w:val="24"/>
          <w:szCs w:val="24"/>
        </w:rPr>
        <w:t xml:space="preserve">(intelletto, volontà, passioni) </w:t>
      </w:r>
      <w:r>
        <w:rPr>
          <w:rFonts w:ascii="Times New Roman" w:hAnsi="Times New Roman" w:cs="Times New Roman"/>
          <w:sz w:val="24"/>
          <w:szCs w:val="24"/>
        </w:rPr>
        <w:t xml:space="preserve">per indicare </w:t>
      </w:r>
      <w:r w:rsidR="00A575CC">
        <w:rPr>
          <w:rFonts w:ascii="Times New Roman" w:hAnsi="Times New Roman" w:cs="Times New Roman"/>
          <w:sz w:val="24"/>
          <w:szCs w:val="24"/>
        </w:rPr>
        <w:t>cammini</w:t>
      </w:r>
      <w:r>
        <w:rPr>
          <w:rFonts w:ascii="Times New Roman" w:hAnsi="Times New Roman" w:cs="Times New Roman"/>
          <w:sz w:val="24"/>
          <w:szCs w:val="24"/>
        </w:rPr>
        <w:t xml:space="preserve"> di armonia e valorizzazione. </w:t>
      </w:r>
    </w:p>
    <w:p w:rsidR="00A575CC" w:rsidRDefault="00A575CC" w:rsidP="00775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Nella </w:t>
      </w:r>
      <w:r w:rsidRPr="00FF1543">
        <w:rPr>
          <w:rFonts w:ascii="Times New Roman" w:hAnsi="Times New Roman" w:cs="Times New Roman"/>
          <w:b/>
          <w:sz w:val="24"/>
          <w:szCs w:val="24"/>
        </w:rPr>
        <w:t xml:space="preserve">struttura della </w:t>
      </w:r>
      <w:r w:rsidRPr="00FF1543">
        <w:rPr>
          <w:rFonts w:ascii="Times New Roman" w:hAnsi="Times New Roman" w:cs="Times New Roman"/>
          <w:b/>
          <w:i/>
          <w:sz w:val="24"/>
          <w:szCs w:val="24"/>
        </w:rPr>
        <w:t>quaestio</w:t>
      </w:r>
      <w:r>
        <w:rPr>
          <w:rFonts w:ascii="Times New Roman" w:hAnsi="Times New Roman" w:cs="Times New Roman"/>
          <w:sz w:val="24"/>
          <w:szCs w:val="24"/>
        </w:rPr>
        <w:t xml:space="preserve"> l’</w:t>
      </w:r>
      <w:proofErr w:type="spellStart"/>
      <w:r w:rsidRPr="00A575CC">
        <w:rPr>
          <w:rFonts w:ascii="Times New Roman" w:hAnsi="Times New Roman" w:cs="Times New Roman"/>
          <w:i/>
          <w:sz w:val="24"/>
          <w:szCs w:val="24"/>
        </w:rPr>
        <w:t>auctoritas</w:t>
      </w:r>
      <w:proofErr w:type="spellEnd"/>
      <w:r>
        <w:rPr>
          <w:rFonts w:ascii="Times New Roman" w:hAnsi="Times New Roman" w:cs="Times New Roman"/>
          <w:sz w:val="24"/>
          <w:szCs w:val="24"/>
        </w:rPr>
        <w:t>, nella sua eterogeneità, si fa argomentazione.</w:t>
      </w:r>
    </w:p>
    <w:p w:rsidR="00EA2F63" w:rsidRPr="00EA2F63" w:rsidRDefault="00EA2F63" w:rsidP="00EA2F63">
      <w:pPr>
        <w:spacing w:after="0" w:line="240" w:lineRule="auto"/>
        <w:rPr>
          <w:rFonts w:ascii="Times New Roman" w:hAnsi="Times New Roman" w:cs="Times New Roman"/>
          <w:sz w:val="24"/>
          <w:szCs w:val="24"/>
        </w:rPr>
      </w:pPr>
      <w:r w:rsidRPr="00EA2F63">
        <w:rPr>
          <w:rFonts w:ascii="Times New Roman" w:hAnsi="Times New Roman" w:cs="Times New Roman"/>
          <w:sz w:val="24"/>
          <w:szCs w:val="24"/>
        </w:rPr>
        <w:t>Le sequenze dell'argomentazione sono marcate</w:t>
      </w:r>
      <w:r>
        <w:rPr>
          <w:rFonts w:ascii="Times New Roman" w:hAnsi="Times New Roman" w:cs="Times New Roman"/>
          <w:sz w:val="24"/>
          <w:szCs w:val="24"/>
        </w:rPr>
        <w:t xml:space="preserve"> </w:t>
      </w:r>
      <w:r w:rsidRPr="00EA2F63">
        <w:rPr>
          <w:rFonts w:ascii="Times New Roman" w:hAnsi="Times New Roman" w:cs="Times New Roman"/>
          <w:sz w:val="24"/>
          <w:szCs w:val="24"/>
        </w:rPr>
        <w:t>da formule particolari:</w:t>
      </w:r>
      <w:r>
        <w:rPr>
          <w:rFonts w:ascii="Times New Roman" w:hAnsi="Times New Roman" w:cs="Times New Roman"/>
          <w:sz w:val="24"/>
          <w:szCs w:val="24"/>
        </w:rPr>
        <w:t xml:space="preserve"> </w:t>
      </w:r>
      <w:proofErr w:type="spellStart"/>
      <w:r w:rsidRPr="0073197E">
        <w:rPr>
          <w:rFonts w:ascii="Times New Roman" w:hAnsi="Times New Roman" w:cs="Times New Roman"/>
          <w:i/>
          <w:sz w:val="24"/>
          <w:szCs w:val="24"/>
        </w:rPr>
        <w:t>utrum</w:t>
      </w:r>
      <w:proofErr w:type="spellEnd"/>
      <w:r w:rsidRPr="0073197E">
        <w:rPr>
          <w:rFonts w:ascii="Times New Roman" w:hAnsi="Times New Roman" w:cs="Times New Roman"/>
          <w:i/>
          <w:sz w:val="24"/>
          <w:szCs w:val="24"/>
        </w:rPr>
        <w:t xml:space="preserve"> sit</w:t>
      </w:r>
      <w:r w:rsidRPr="00EA2F63">
        <w:rPr>
          <w:rFonts w:ascii="Times New Roman" w:hAnsi="Times New Roman" w:cs="Times New Roman"/>
          <w:sz w:val="24"/>
          <w:szCs w:val="24"/>
        </w:rPr>
        <w:t xml:space="preserve"> (se): avvia l'enunciazione del quesito </w:t>
      </w:r>
      <w:r>
        <w:rPr>
          <w:rFonts w:ascii="Times New Roman" w:hAnsi="Times New Roman" w:cs="Times New Roman"/>
          <w:sz w:val="24"/>
          <w:szCs w:val="24"/>
        </w:rPr>
        <w:t xml:space="preserve">e della tesi </w:t>
      </w:r>
      <w:r w:rsidR="00522C26">
        <w:rPr>
          <w:rFonts w:ascii="Times New Roman" w:hAnsi="Times New Roman" w:cs="Times New Roman"/>
          <w:sz w:val="24"/>
          <w:szCs w:val="24"/>
        </w:rPr>
        <w:t>sul tema</w:t>
      </w:r>
      <w:r>
        <w:rPr>
          <w:rFonts w:ascii="Times New Roman" w:hAnsi="Times New Roman" w:cs="Times New Roman"/>
          <w:sz w:val="24"/>
          <w:szCs w:val="24"/>
        </w:rPr>
        <w:t xml:space="preserve">; </w:t>
      </w:r>
      <w:proofErr w:type="spellStart"/>
      <w:r w:rsidRPr="0073197E">
        <w:rPr>
          <w:rFonts w:ascii="Times New Roman" w:hAnsi="Times New Roman" w:cs="Times New Roman"/>
          <w:i/>
          <w:sz w:val="24"/>
          <w:szCs w:val="24"/>
        </w:rPr>
        <w:t>videtur</w:t>
      </w:r>
      <w:proofErr w:type="spellEnd"/>
      <w:r w:rsidRPr="0073197E">
        <w:rPr>
          <w:rFonts w:ascii="Times New Roman" w:hAnsi="Times New Roman" w:cs="Times New Roman"/>
          <w:i/>
          <w:sz w:val="24"/>
          <w:szCs w:val="24"/>
        </w:rPr>
        <w:t xml:space="preserve"> </w:t>
      </w:r>
      <w:proofErr w:type="spellStart"/>
      <w:r w:rsidRPr="0073197E">
        <w:rPr>
          <w:rFonts w:ascii="Times New Roman" w:hAnsi="Times New Roman" w:cs="Times New Roman"/>
          <w:i/>
          <w:sz w:val="24"/>
          <w:szCs w:val="24"/>
        </w:rPr>
        <w:t>quod</w:t>
      </w:r>
      <w:proofErr w:type="spellEnd"/>
      <w:r w:rsidRPr="0073197E">
        <w:rPr>
          <w:rFonts w:ascii="Times New Roman" w:hAnsi="Times New Roman" w:cs="Times New Roman"/>
          <w:i/>
          <w:sz w:val="24"/>
          <w:szCs w:val="24"/>
        </w:rPr>
        <w:t xml:space="preserve"> non</w:t>
      </w:r>
      <w:r w:rsidRPr="00EA2F63">
        <w:rPr>
          <w:rFonts w:ascii="Times New Roman" w:hAnsi="Times New Roman" w:cs="Times New Roman"/>
          <w:sz w:val="24"/>
          <w:szCs w:val="24"/>
        </w:rPr>
        <w:t xml:space="preserve"> (sembra che</w:t>
      </w:r>
      <w:r>
        <w:rPr>
          <w:rFonts w:ascii="Times New Roman" w:hAnsi="Times New Roman" w:cs="Times New Roman"/>
          <w:sz w:val="24"/>
          <w:szCs w:val="24"/>
        </w:rPr>
        <w:t xml:space="preserve"> non</w:t>
      </w:r>
      <w:r w:rsidRPr="00EA2F63">
        <w:rPr>
          <w:rFonts w:ascii="Times New Roman" w:hAnsi="Times New Roman" w:cs="Times New Roman"/>
          <w:sz w:val="24"/>
          <w:szCs w:val="24"/>
        </w:rPr>
        <w:t>): introduce le</w:t>
      </w:r>
      <w:r w:rsidR="00522C26">
        <w:rPr>
          <w:rFonts w:ascii="Times New Roman" w:hAnsi="Times New Roman" w:cs="Times New Roman"/>
          <w:sz w:val="24"/>
          <w:szCs w:val="24"/>
        </w:rPr>
        <w:t xml:space="preserve"> </w:t>
      </w:r>
      <w:r w:rsidRPr="00EA2F63">
        <w:rPr>
          <w:rFonts w:ascii="Times New Roman" w:hAnsi="Times New Roman" w:cs="Times New Roman"/>
          <w:sz w:val="24"/>
          <w:szCs w:val="24"/>
        </w:rPr>
        <w:t>opinioni</w:t>
      </w:r>
      <w:r>
        <w:rPr>
          <w:rFonts w:ascii="Times New Roman" w:hAnsi="Times New Roman" w:cs="Times New Roman"/>
          <w:sz w:val="24"/>
          <w:szCs w:val="24"/>
        </w:rPr>
        <w:t xml:space="preserve"> </w:t>
      </w:r>
      <w:r w:rsidRPr="00EA2F63">
        <w:rPr>
          <w:rFonts w:ascii="Times New Roman" w:hAnsi="Times New Roman" w:cs="Times New Roman"/>
          <w:sz w:val="24"/>
          <w:szCs w:val="24"/>
        </w:rPr>
        <w:t>contrarie</w:t>
      </w:r>
      <w:r w:rsidR="00522C26">
        <w:rPr>
          <w:rFonts w:ascii="Times New Roman" w:hAnsi="Times New Roman" w:cs="Times New Roman"/>
          <w:sz w:val="24"/>
          <w:szCs w:val="24"/>
        </w:rPr>
        <w:t xml:space="preserve"> con </w:t>
      </w:r>
      <w:proofErr w:type="spellStart"/>
      <w:r w:rsidRPr="0073197E">
        <w:rPr>
          <w:rFonts w:ascii="Times New Roman" w:hAnsi="Times New Roman" w:cs="Times New Roman"/>
          <w:i/>
          <w:sz w:val="24"/>
          <w:szCs w:val="24"/>
        </w:rPr>
        <w:t>auctoritates</w:t>
      </w:r>
      <w:proofErr w:type="spellEnd"/>
      <w:r w:rsidRPr="00EA2F6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3197E">
        <w:rPr>
          <w:rFonts w:ascii="Times New Roman" w:hAnsi="Times New Roman" w:cs="Times New Roman"/>
          <w:i/>
          <w:sz w:val="24"/>
          <w:szCs w:val="24"/>
        </w:rPr>
        <w:t>sed</w:t>
      </w:r>
      <w:proofErr w:type="spellEnd"/>
      <w:r w:rsidRPr="0073197E">
        <w:rPr>
          <w:rFonts w:ascii="Times New Roman" w:hAnsi="Times New Roman" w:cs="Times New Roman"/>
          <w:i/>
          <w:sz w:val="24"/>
          <w:szCs w:val="24"/>
        </w:rPr>
        <w:t xml:space="preserve"> contra</w:t>
      </w:r>
      <w:r w:rsidRPr="00EA2F63">
        <w:rPr>
          <w:rFonts w:ascii="Times New Roman" w:hAnsi="Times New Roman" w:cs="Times New Roman"/>
          <w:sz w:val="24"/>
          <w:szCs w:val="24"/>
        </w:rPr>
        <w:t xml:space="preserve"> (in contrario): </w:t>
      </w:r>
      <w:r w:rsidR="0073197E">
        <w:rPr>
          <w:rFonts w:ascii="Times New Roman" w:hAnsi="Times New Roman" w:cs="Times New Roman"/>
          <w:sz w:val="24"/>
          <w:szCs w:val="24"/>
        </w:rPr>
        <w:t>i</w:t>
      </w:r>
      <w:r w:rsidRPr="00EA2F63">
        <w:rPr>
          <w:rFonts w:ascii="Times New Roman" w:hAnsi="Times New Roman" w:cs="Times New Roman"/>
          <w:sz w:val="24"/>
          <w:szCs w:val="24"/>
        </w:rPr>
        <w:t xml:space="preserve">ntroduce </w:t>
      </w:r>
      <w:r w:rsidR="00522C26">
        <w:rPr>
          <w:rFonts w:ascii="Times New Roman" w:hAnsi="Times New Roman" w:cs="Times New Roman"/>
          <w:sz w:val="24"/>
          <w:szCs w:val="24"/>
        </w:rPr>
        <w:t xml:space="preserve">con </w:t>
      </w:r>
      <w:r w:rsidRPr="00EA2F63">
        <w:rPr>
          <w:rFonts w:ascii="Times New Roman" w:hAnsi="Times New Roman" w:cs="Times New Roman"/>
          <w:sz w:val="24"/>
          <w:szCs w:val="24"/>
        </w:rPr>
        <w:t>una citazione autorevole</w:t>
      </w:r>
      <w:r>
        <w:rPr>
          <w:rFonts w:ascii="Times New Roman" w:hAnsi="Times New Roman" w:cs="Times New Roman"/>
          <w:sz w:val="24"/>
          <w:szCs w:val="24"/>
        </w:rPr>
        <w:t xml:space="preserve"> la tesi </w:t>
      </w:r>
      <w:r w:rsidRPr="00EA2F63">
        <w:rPr>
          <w:rFonts w:ascii="Times New Roman" w:hAnsi="Times New Roman" w:cs="Times New Roman"/>
          <w:sz w:val="24"/>
          <w:szCs w:val="24"/>
        </w:rPr>
        <w:t>enunciata</w:t>
      </w:r>
      <w:r>
        <w:rPr>
          <w:rFonts w:ascii="Times New Roman" w:hAnsi="Times New Roman" w:cs="Times New Roman"/>
          <w:sz w:val="24"/>
          <w:szCs w:val="24"/>
        </w:rPr>
        <w:t xml:space="preserve"> ed argomentata nel </w:t>
      </w:r>
      <w:proofErr w:type="spellStart"/>
      <w:r w:rsidRPr="0073197E">
        <w:rPr>
          <w:rFonts w:ascii="Times New Roman" w:hAnsi="Times New Roman" w:cs="Times New Roman"/>
          <w:i/>
          <w:sz w:val="24"/>
          <w:szCs w:val="24"/>
        </w:rPr>
        <w:t>respondeo</w:t>
      </w:r>
      <w:proofErr w:type="spellEnd"/>
      <w:r w:rsidRPr="0073197E">
        <w:rPr>
          <w:rFonts w:ascii="Times New Roman" w:hAnsi="Times New Roman" w:cs="Times New Roman"/>
          <w:i/>
          <w:sz w:val="24"/>
          <w:szCs w:val="24"/>
        </w:rPr>
        <w:t xml:space="preserve"> </w:t>
      </w:r>
      <w:proofErr w:type="spellStart"/>
      <w:r w:rsidRPr="0073197E">
        <w:rPr>
          <w:rFonts w:ascii="Times New Roman" w:hAnsi="Times New Roman" w:cs="Times New Roman"/>
          <w:i/>
          <w:sz w:val="24"/>
          <w:szCs w:val="24"/>
        </w:rPr>
        <w:t>dicendum</w:t>
      </w:r>
      <w:proofErr w:type="spellEnd"/>
      <w:r w:rsidRPr="0073197E">
        <w:rPr>
          <w:rFonts w:ascii="Times New Roman" w:hAnsi="Times New Roman" w:cs="Times New Roman"/>
          <w:i/>
          <w:sz w:val="24"/>
          <w:szCs w:val="24"/>
        </w:rPr>
        <w:t xml:space="preserve"> </w:t>
      </w:r>
      <w:proofErr w:type="spellStart"/>
      <w:r w:rsidRPr="0073197E">
        <w:rPr>
          <w:rFonts w:ascii="Times New Roman" w:hAnsi="Times New Roman" w:cs="Times New Roman"/>
          <w:i/>
          <w:sz w:val="24"/>
          <w:szCs w:val="24"/>
        </w:rPr>
        <w:t>quod</w:t>
      </w:r>
      <w:proofErr w:type="spellEnd"/>
      <w:r w:rsidRPr="00EA2F63">
        <w:rPr>
          <w:rFonts w:ascii="Times New Roman" w:hAnsi="Times New Roman" w:cs="Times New Roman"/>
          <w:sz w:val="24"/>
          <w:szCs w:val="24"/>
        </w:rPr>
        <w:t xml:space="preserve"> (rispondo)</w:t>
      </w:r>
      <w:r>
        <w:rPr>
          <w:rFonts w:ascii="Times New Roman" w:hAnsi="Times New Roman" w:cs="Times New Roman"/>
          <w:sz w:val="24"/>
          <w:szCs w:val="24"/>
        </w:rPr>
        <w:t xml:space="preserve">, </w:t>
      </w:r>
      <w:proofErr w:type="spellStart"/>
      <w:r w:rsidRPr="0073197E">
        <w:rPr>
          <w:rFonts w:ascii="Times New Roman" w:hAnsi="Times New Roman" w:cs="Times New Roman"/>
          <w:i/>
          <w:sz w:val="24"/>
          <w:szCs w:val="24"/>
        </w:rPr>
        <w:t>sed</w:t>
      </w:r>
      <w:proofErr w:type="spellEnd"/>
      <w:r w:rsidRPr="0073197E">
        <w:rPr>
          <w:rFonts w:ascii="Times New Roman" w:hAnsi="Times New Roman" w:cs="Times New Roman"/>
          <w:i/>
          <w:sz w:val="24"/>
          <w:szCs w:val="24"/>
        </w:rPr>
        <w:t xml:space="preserve"> </w:t>
      </w:r>
      <w:proofErr w:type="spellStart"/>
      <w:r w:rsidRPr="0073197E">
        <w:rPr>
          <w:rFonts w:ascii="Times New Roman" w:hAnsi="Times New Roman" w:cs="Times New Roman"/>
          <w:i/>
          <w:sz w:val="24"/>
          <w:szCs w:val="24"/>
        </w:rPr>
        <w:t>tamen</w:t>
      </w:r>
      <w:proofErr w:type="spellEnd"/>
      <w:r w:rsidRPr="0073197E">
        <w:rPr>
          <w:rFonts w:ascii="Times New Roman" w:hAnsi="Times New Roman" w:cs="Times New Roman"/>
          <w:i/>
          <w:sz w:val="24"/>
          <w:szCs w:val="24"/>
        </w:rPr>
        <w:t xml:space="preserve">, est </w:t>
      </w:r>
      <w:proofErr w:type="spellStart"/>
      <w:r w:rsidRPr="0073197E">
        <w:rPr>
          <w:rFonts w:ascii="Times New Roman" w:hAnsi="Times New Roman" w:cs="Times New Roman"/>
          <w:i/>
          <w:sz w:val="24"/>
          <w:szCs w:val="24"/>
        </w:rPr>
        <w:t>autem</w:t>
      </w:r>
      <w:r>
        <w:rPr>
          <w:rFonts w:ascii="Times New Roman" w:hAnsi="Times New Roman" w:cs="Times New Roman"/>
          <w:sz w:val="24"/>
          <w:szCs w:val="24"/>
        </w:rPr>
        <w:t>…</w:t>
      </w:r>
      <w:proofErr w:type="spellEnd"/>
      <w:r>
        <w:rPr>
          <w:rFonts w:ascii="Times New Roman" w:hAnsi="Times New Roman" w:cs="Times New Roman"/>
          <w:sz w:val="24"/>
          <w:szCs w:val="24"/>
        </w:rPr>
        <w:t xml:space="preserve">; </w:t>
      </w:r>
      <w:r w:rsidR="00522C26">
        <w:rPr>
          <w:rFonts w:ascii="Times New Roman" w:hAnsi="Times New Roman" w:cs="Times New Roman"/>
          <w:sz w:val="24"/>
          <w:szCs w:val="24"/>
        </w:rPr>
        <w:t xml:space="preserve">in </w:t>
      </w:r>
      <w:r w:rsidRPr="0073197E">
        <w:rPr>
          <w:rFonts w:ascii="Times New Roman" w:hAnsi="Times New Roman" w:cs="Times New Roman"/>
          <w:i/>
          <w:sz w:val="24"/>
          <w:szCs w:val="24"/>
        </w:rPr>
        <w:t xml:space="preserve">ad </w:t>
      </w:r>
      <w:proofErr w:type="spellStart"/>
      <w:r w:rsidRPr="0073197E">
        <w:rPr>
          <w:rFonts w:ascii="Times New Roman" w:hAnsi="Times New Roman" w:cs="Times New Roman"/>
          <w:i/>
          <w:sz w:val="24"/>
          <w:szCs w:val="24"/>
        </w:rPr>
        <w:t>primum</w:t>
      </w:r>
      <w:proofErr w:type="spellEnd"/>
      <w:r>
        <w:rPr>
          <w:rFonts w:ascii="Times New Roman" w:hAnsi="Times New Roman" w:cs="Times New Roman"/>
          <w:sz w:val="24"/>
          <w:szCs w:val="24"/>
        </w:rPr>
        <w:t xml:space="preserve">, </w:t>
      </w:r>
      <w:r w:rsidRPr="0073197E">
        <w:rPr>
          <w:rFonts w:ascii="Times New Roman" w:hAnsi="Times New Roman" w:cs="Times New Roman"/>
          <w:i/>
          <w:sz w:val="24"/>
          <w:szCs w:val="24"/>
        </w:rPr>
        <w:t xml:space="preserve">ad </w:t>
      </w:r>
      <w:proofErr w:type="spellStart"/>
      <w:r w:rsidRPr="0073197E">
        <w:rPr>
          <w:rFonts w:ascii="Times New Roman" w:hAnsi="Times New Roman" w:cs="Times New Roman"/>
          <w:i/>
          <w:sz w:val="24"/>
          <w:szCs w:val="24"/>
        </w:rPr>
        <w:t>secundum…</w:t>
      </w:r>
      <w:proofErr w:type="spellEnd"/>
      <w:r>
        <w:rPr>
          <w:rFonts w:ascii="Times New Roman" w:hAnsi="Times New Roman" w:cs="Times New Roman"/>
          <w:sz w:val="24"/>
          <w:szCs w:val="24"/>
        </w:rPr>
        <w:t xml:space="preserve"> </w:t>
      </w:r>
      <w:r w:rsidR="00522C26">
        <w:rPr>
          <w:rFonts w:ascii="Times New Roman" w:hAnsi="Times New Roman" w:cs="Times New Roman"/>
          <w:sz w:val="24"/>
          <w:szCs w:val="24"/>
        </w:rPr>
        <w:t>ripresa del</w:t>
      </w:r>
      <w:r w:rsidRPr="00EA2F63">
        <w:rPr>
          <w:rFonts w:ascii="Times New Roman" w:hAnsi="Times New Roman" w:cs="Times New Roman"/>
          <w:sz w:val="24"/>
          <w:szCs w:val="24"/>
        </w:rPr>
        <w:t>le opinioni contrarie</w:t>
      </w:r>
      <w:r w:rsidR="0073197E">
        <w:rPr>
          <w:rFonts w:ascii="Times New Roman" w:hAnsi="Times New Roman" w:cs="Times New Roman"/>
          <w:sz w:val="24"/>
          <w:szCs w:val="24"/>
        </w:rPr>
        <w:t xml:space="preserve"> </w:t>
      </w:r>
      <w:r w:rsidR="00522C26">
        <w:rPr>
          <w:rFonts w:ascii="Times New Roman" w:hAnsi="Times New Roman" w:cs="Times New Roman"/>
          <w:sz w:val="24"/>
          <w:szCs w:val="24"/>
        </w:rPr>
        <w:t xml:space="preserve">che </w:t>
      </w:r>
      <w:r w:rsidR="0073197E">
        <w:rPr>
          <w:rFonts w:ascii="Times New Roman" w:hAnsi="Times New Roman" w:cs="Times New Roman"/>
          <w:sz w:val="24"/>
          <w:szCs w:val="24"/>
        </w:rPr>
        <w:t xml:space="preserve">diventano </w:t>
      </w:r>
      <w:proofErr w:type="spellStart"/>
      <w:r w:rsidR="0073197E" w:rsidRPr="0073197E">
        <w:rPr>
          <w:rFonts w:ascii="Times New Roman" w:hAnsi="Times New Roman" w:cs="Times New Roman"/>
          <w:i/>
          <w:sz w:val="24"/>
          <w:szCs w:val="24"/>
        </w:rPr>
        <w:t>solubilia</w:t>
      </w:r>
      <w:proofErr w:type="spellEnd"/>
      <w:r w:rsidR="0073197E" w:rsidRPr="0073197E">
        <w:rPr>
          <w:rFonts w:ascii="Times New Roman" w:hAnsi="Times New Roman" w:cs="Times New Roman"/>
          <w:i/>
          <w:sz w:val="24"/>
          <w:szCs w:val="24"/>
        </w:rPr>
        <w:t xml:space="preserve"> </w:t>
      </w:r>
      <w:proofErr w:type="spellStart"/>
      <w:r w:rsidR="0073197E" w:rsidRPr="0073197E">
        <w:rPr>
          <w:rFonts w:ascii="Times New Roman" w:hAnsi="Times New Roman" w:cs="Times New Roman"/>
          <w:i/>
          <w:sz w:val="24"/>
          <w:szCs w:val="24"/>
        </w:rPr>
        <w:t>argumenta</w:t>
      </w:r>
      <w:proofErr w:type="spellEnd"/>
      <w:r w:rsidR="0073197E">
        <w:rPr>
          <w:rFonts w:ascii="Times New Roman" w:hAnsi="Times New Roman" w:cs="Times New Roman"/>
          <w:sz w:val="24"/>
          <w:szCs w:val="24"/>
        </w:rPr>
        <w:t>.</w:t>
      </w:r>
    </w:p>
    <w:p w:rsidR="00EA2F63" w:rsidRPr="00EA2F63" w:rsidRDefault="00EA2F63" w:rsidP="00EA2F63">
      <w:pPr>
        <w:spacing w:after="0" w:line="240" w:lineRule="auto"/>
        <w:rPr>
          <w:rFonts w:ascii="Times New Roman" w:hAnsi="Times New Roman" w:cs="Times New Roman"/>
          <w:sz w:val="24"/>
          <w:szCs w:val="24"/>
        </w:rPr>
      </w:pPr>
      <w:r w:rsidRPr="00EA2F63">
        <w:rPr>
          <w:rFonts w:ascii="Times New Roman" w:hAnsi="Times New Roman" w:cs="Times New Roman"/>
          <w:sz w:val="24"/>
          <w:szCs w:val="24"/>
        </w:rPr>
        <w:t>La quaestio non è, dunque, soltanto un particolare modulo espositivo: è un dispositivo logico che esprime un atteggiamento peculiare nel porre e nel tentare di portare a soluzione i problemi.</w:t>
      </w:r>
    </w:p>
    <w:p w:rsidR="00A575CC" w:rsidRDefault="00A575CC" w:rsidP="0077501B">
      <w:pPr>
        <w:spacing w:after="0" w:line="240" w:lineRule="auto"/>
        <w:rPr>
          <w:rFonts w:ascii="Times New Roman" w:hAnsi="Times New Roman" w:cs="Times New Roman"/>
          <w:sz w:val="24"/>
          <w:szCs w:val="24"/>
        </w:rPr>
      </w:pPr>
      <w:r>
        <w:rPr>
          <w:rFonts w:ascii="Times New Roman" w:hAnsi="Times New Roman" w:cs="Times New Roman"/>
          <w:sz w:val="24"/>
          <w:szCs w:val="24"/>
        </w:rPr>
        <w:t>2. L’</w:t>
      </w:r>
      <w:r w:rsidRPr="00FF1543">
        <w:rPr>
          <w:rFonts w:ascii="Times New Roman" w:hAnsi="Times New Roman" w:cs="Times New Roman"/>
          <w:b/>
          <w:sz w:val="24"/>
          <w:szCs w:val="24"/>
        </w:rPr>
        <w:t>incontro tra elementi divergent</w:t>
      </w:r>
      <w:r>
        <w:rPr>
          <w:rFonts w:ascii="Times New Roman" w:hAnsi="Times New Roman" w:cs="Times New Roman"/>
          <w:sz w:val="24"/>
          <w:szCs w:val="24"/>
        </w:rPr>
        <w:t>i: la volontà razionale e la inclinazione naturale</w:t>
      </w:r>
      <w:r w:rsidR="00A823EF">
        <w:rPr>
          <w:rFonts w:ascii="Times New Roman" w:hAnsi="Times New Roman" w:cs="Times New Roman"/>
          <w:sz w:val="24"/>
          <w:szCs w:val="24"/>
        </w:rPr>
        <w:t>.</w:t>
      </w:r>
    </w:p>
    <w:p w:rsidR="00A823EF" w:rsidRPr="0026667A" w:rsidRDefault="00A823EF" w:rsidP="00A823EF">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sidRPr="0026667A">
        <w:rPr>
          <w:rFonts w:ascii="Times New Roman" w:hAnsi="Times New Roman" w:cs="Times New Roman"/>
          <w:i/>
          <w:sz w:val="24"/>
          <w:szCs w:val="24"/>
        </w:rPr>
        <w:t xml:space="preserve">… sebbene gli argomenti della ragione umana non valgano per provare le cose di fede; tuttavia, movendo dagli articoli di fede, la sacra dottrina può provare altre cose </w:t>
      </w:r>
      <w:r w:rsidRPr="0026667A">
        <w:rPr>
          <w:rFonts w:ascii="Times New Roman" w:hAnsi="Times New Roman" w:cs="Times New Roman"/>
          <w:sz w:val="24"/>
          <w:szCs w:val="24"/>
        </w:rPr>
        <w:t>[…]</w:t>
      </w:r>
    </w:p>
    <w:p w:rsidR="00A575CC" w:rsidRDefault="00A823EF" w:rsidP="00A823EF">
      <w:pPr>
        <w:spacing w:after="0" w:line="240" w:lineRule="auto"/>
        <w:rPr>
          <w:rFonts w:ascii="Times New Roman" w:hAnsi="Times New Roman" w:cs="Times New Roman"/>
          <w:sz w:val="24"/>
          <w:szCs w:val="24"/>
        </w:rPr>
      </w:pPr>
      <w:r w:rsidRPr="0026667A">
        <w:rPr>
          <w:rFonts w:ascii="Times New Roman" w:hAnsi="Times New Roman" w:cs="Times New Roman"/>
          <w:i/>
          <w:sz w:val="24"/>
          <w:szCs w:val="24"/>
        </w:rPr>
        <w:t>la sacra dottrina usa anche del ragionamento, non già per dimostrare i dommi, che altrimenti si perderebbe il merito della fede; ma per chiarire alcuni punti del suo insegnamento. Siccome infatti la grazia non distrugge la natura, ma anzi la perfeziona, la ragione deve servire alla fede, nel modo stesso che l'inclinazione naturale della volontà asseconda la carità</w:t>
      </w:r>
      <w:r w:rsidR="00CF5260">
        <w:rPr>
          <w:rFonts w:ascii="Times New Roman" w:hAnsi="Times New Roman" w:cs="Times New Roman"/>
          <w:sz w:val="24"/>
          <w:szCs w:val="24"/>
        </w:rPr>
        <w:t>»</w:t>
      </w:r>
      <w:r w:rsidRPr="00A823EF">
        <w:rPr>
          <w:rFonts w:ascii="Times New Roman" w:hAnsi="Times New Roman" w:cs="Times New Roman"/>
          <w:sz w:val="24"/>
          <w:szCs w:val="24"/>
        </w:rPr>
        <w:t xml:space="preserve">. </w:t>
      </w:r>
      <w:r w:rsidR="00CF5260">
        <w:rPr>
          <w:rFonts w:ascii="Times New Roman" w:hAnsi="Times New Roman" w:cs="Times New Roman"/>
          <w:sz w:val="24"/>
          <w:szCs w:val="24"/>
        </w:rPr>
        <w:t>(</w:t>
      </w:r>
      <w:r w:rsidR="00CF5260" w:rsidRPr="00CF5260">
        <w:rPr>
          <w:rFonts w:ascii="Times New Roman" w:hAnsi="Times New Roman" w:cs="Times New Roman"/>
          <w:i/>
          <w:sz w:val="24"/>
          <w:szCs w:val="24"/>
        </w:rPr>
        <w:t xml:space="preserve">Summa </w:t>
      </w:r>
      <w:proofErr w:type="spellStart"/>
      <w:r w:rsidR="00CF5260" w:rsidRPr="00CF5260">
        <w:rPr>
          <w:rFonts w:ascii="Times New Roman" w:hAnsi="Times New Roman" w:cs="Times New Roman"/>
          <w:i/>
          <w:sz w:val="24"/>
          <w:szCs w:val="24"/>
        </w:rPr>
        <w:t>theologica</w:t>
      </w:r>
      <w:proofErr w:type="spellEnd"/>
      <w:r w:rsidR="00CF5260">
        <w:rPr>
          <w:rFonts w:ascii="Times New Roman" w:hAnsi="Times New Roman" w:cs="Times New Roman"/>
          <w:sz w:val="24"/>
          <w:szCs w:val="24"/>
        </w:rPr>
        <w:t>, I,I,8)</w:t>
      </w:r>
    </w:p>
    <w:p w:rsidR="00A823EF" w:rsidRDefault="00A575CC" w:rsidP="00A823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FF1543">
        <w:rPr>
          <w:rFonts w:ascii="Times New Roman" w:hAnsi="Times New Roman" w:cs="Times New Roman"/>
          <w:b/>
          <w:sz w:val="24"/>
          <w:szCs w:val="24"/>
        </w:rPr>
        <w:t>Cosa significa credere</w:t>
      </w:r>
      <w:r>
        <w:rPr>
          <w:rFonts w:ascii="Times New Roman" w:hAnsi="Times New Roman" w:cs="Times New Roman"/>
          <w:sz w:val="24"/>
          <w:szCs w:val="24"/>
        </w:rPr>
        <w:t xml:space="preserve">: la certezza </w:t>
      </w:r>
      <w:r w:rsidR="000C2945">
        <w:rPr>
          <w:rFonts w:ascii="Times New Roman" w:hAnsi="Times New Roman" w:cs="Times New Roman"/>
          <w:sz w:val="24"/>
          <w:szCs w:val="24"/>
        </w:rPr>
        <w:t xml:space="preserve">(per volontà) </w:t>
      </w:r>
      <w:r>
        <w:rPr>
          <w:rFonts w:ascii="Times New Roman" w:hAnsi="Times New Roman" w:cs="Times New Roman"/>
          <w:sz w:val="24"/>
          <w:szCs w:val="24"/>
        </w:rPr>
        <w:t xml:space="preserve">e l’inquietudine </w:t>
      </w:r>
      <w:r w:rsidR="000C2945">
        <w:rPr>
          <w:rFonts w:ascii="Times New Roman" w:hAnsi="Times New Roman" w:cs="Times New Roman"/>
          <w:sz w:val="24"/>
          <w:szCs w:val="24"/>
        </w:rPr>
        <w:t xml:space="preserve">(per l’intelletto) </w:t>
      </w:r>
      <w:r>
        <w:rPr>
          <w:rFonts w:ascii="Times New Roman" w:hAnsi="Times New Roman" w:cs="Times New Roman"/>
          <w:sz w:val="24"/>
          <w:szCs w:val="24"/>
        </w:rPr>
        <w:t>della fede</w:t>
      </w:r>
      <w:r w:rsidR="000C2945">
        <w:rPr>
          <w:rFonts w:ascii="Times New Roman" w:hAnsi="Times New Roman" w:cs="Times New Roman"/>
          <w:sz w:val="24"/>
          <w:szCs w:val="24"/>
        </w:rPr>
        <w:t xml:space="preserve"> (del consenso)</w:t>
      </w:r>
      <w:r>
        <w:rPr>
          <w:rFonts w:ascii="Times New Roman" w:hAnsi="Times New Roman" w:cs="Times New Roman"/>
          <w:sz w:val="24"/>
          <w:szCs w:val="24"/>
        </w:rPr>
        <w:t xml:space="preserve">.  </w:t>
      </w:r>
      <w:r w:rsidR="000C2945">
        <w:rPr>
          <w:rFonts w:ascii="Times New Roman" w:hAnsi="Times New Roman" w:cs="Times New Roman"/>
          <w:sz w:val="24"/>
          <w:szCs w:val="24"/>
        </w:rPr>
        <w:t xml:space="preserve">La </w:t>
      </w:r>
      <w:r w:rsidR="000C2945" w:rsidRPr="000C2945">
        <w:rPr>
          <w:rFonts w:ascii="Times New Roman" w:hAnsi="Times New Roman" w:cs="Times New Roman"/>
          <w:i/>
          <w:sz w:val="24"/>
          <w:szCs w:val="24"/>
        </w:rPr>
        <w:t>quaestio</w:t>
      </w:r>
      <w:r w:rsidR="000C2945">
        <w:rPr>
          <w:rFonts w:ascii="Times New Roman" w:hAnsi="Times New Roman" w:cs="Times New Roman"/>
          <w:sz w:val="24"/>
          <w:szCs w:val="24"/>
        </w:rPr>
        <w:t xml:space="preserve"> </w:t>
      </w:r>
      <w:r w:rsidR="000C2945" w:rsidRPr="000C2945">
        <w:rPr>
          <w:rFonts w:ascii="Times New Roman" w:hAnsi="Times New Roman" w:cs="Times New Roman"/>
          <w:i/>
          <w:sz w:val="24"/>
          <w:szCs w:val="24"/>
        </w:rPr>
        <w:t>De fide</w:t>
      </w:r>
      <w:r w:rsidR="000C2945">
        <w:rPr>
          <w:rFonts w:ascii="Times New Roman" w:hAnsi="Times New Roman" w:cs="Times New Roman"/>
          <w:sz w:val="24"/>
          <w:szCs w:val="24"/>
        </w:rPr>
        <w:t xml:space="preserve"> affronta l’intero campo delle capacità umana per collocare e definire l’atteggiamento del credere. </w:t>
      </w:r>
      <w:r w:rsidR="00DA4D6F">
        <w:rPr>
          <w:rFonts w:ascii="Times New Roman" w:hAnsi="Times New Roman" w:cs="Times New Roman"/>
          <w:sz w:val="24"/>
          <w:szCs w:val="24"/>
        </w:rPr>
        <w:t>«</w:t>
      </w:r>
      <w:proofErr w:type="spellStart"/>
      <w:r w:rsidR="00CF5260" w:rsidRPr="0026667A">
        <w:rPr>
          <w:rFonts w:ascii="Times New Roman" w:hAnsi="Times New Roman" w:cs="Times New Roman"/>
          <w:i/>
          <w:sz w:val="24"/>
          <w:szCs w:val="24"/>
        </w:rPr>
        <w:t>…</w:t>
      </w:r>
      <w:r w:rsidR="00A823EF" w:rsidRPr="0026667A">
        <w:rPr>
          <w:rFonts w:ascii="Times New Roman" w:hAnsi="Times New Roman" w:cs="Times New Roman"/>
          <w:i/>
          <w:sz w:val="24"/>
          <w:szCs w:val="24"/>
        </w:rPr>
        <w:t>nella</w:t>
      </w:r>
      <w:proofErr w:type="spellEnd"/>
      <w:r w:rsidR="00A823EF" w:rsidRPr="0026667A">
        <w:rPr>
          <w:rFonts w:ascii="Times New Roman" w:hAnsi="Times New Roman" w:cs="Times New Roman"/>
          <w:i/>
          <w:sz w:val="24"/>
          <w:szCs w:val="24"/>
        </w:rPr>
        <w:t xml:space="preserve"> fede l'assenso e la riflessione sono quasi sullo stesso piano. Infatti l'assenso non è causato dalla riflessione, ma dalla volontà, come è stato detto. Ma poiché l'intelletto non è spinto in questo modo in una sola direzione come se tendesse al suo proprio fine, che è la</w:t>
      </w:r>
      <w:r w:rsidR="00DA4D6F" w:rsidRPr="0026667A">
        <w:rPr>
          <w:rFonts w:ascii="Times New Roman" w:hAnsi="Times New Roman" w:cs="Times New Roman"/>
          <w:i/>
          <w:sz w:val="24"/>
          <w:szCs w:val="24"/>
        </w:rPr>
        <w:t xml:space="preserve"> </w:t>
      </w:r>
      <w:r w:rsidR="00A823EF" w:rsidRPr="0026667A">
        <w:rPr>
          <w:rFonts w:ascii="Times New Roman" w:hAnsi="Times New Roman" w:cs="Times New Roman"/>
          <w:i/>
          <w:sz w:val="24"/>
          <w:szCs w:val="24"/>
        </w:rPr>
        <w:t xml:space="preserve">visione di qualcosa di intellegibile, ne consegue che il processo intellettivo non ha ancora il suo appagamento, ma richiede ancora riflessione e ricerca su ciò che crede, benché il suo assenso sia saldissimo. Infatti quanto riesce a trovare da sé, non lo soddisfa né lo spinge a una sola risoluzione, ed è portato a decidere solo in forza di qualcosa di esterno. Perciò si dice che l'intelletto di chi crede è soggiogato, perché è sottoposto a limiti posti da altri, non da se stesso (II </w:t>
      </w:r>
      <w:proofErr w:type="spellStart"/>
      <w:r w:rsidR="00AE205F" w:rsidRPr="0026667A">
        <w:rPr>
          <w:rFonts w:ascii="Times New Roman" w:hAnsi="Times New Roman" w:cs="Times New Roman"/>
          <w:i/>
          <w:sz w:val="24"/>
          <w:szCs w:val="24"/>
        </w:rPr>
        <w:t>C</w:t>
      </w:r>
      <w:r w:rsidR="00A823EF" w:rsidRPr="0026667A">
        <w:rPr>
          <w:rFonts w:ascii="Times New Roman" w:hAnsi="Times New Roman" w:cs="Times New Roman"/>
          <w:i/>
          <w:sz w:val="24"/>
          <w:szCs w:val="24"/>
        </w:rPr>
        <w:t>orinti</w:t>
      </w:r>
      <w:proofErr w:type="spellEnd"/>
      <w:r w:rsidR="00A823EF" w:rsidRPr="0026667A">
        <w:rPr>
          <w:rFonts w:ascii="Times New Roman" w:hAnsi="Times New Roman" w:cs="Times New Roman"/>
          <w:i/>
          <w:sz w:val="24"/>
          <w:szCs w:val="24"/>
        </w:rPr>
        <w:t xml:space="preserve"> 10,5: </w:t>
      </w:r>
      <w:r w:rsidR="00AE205F" w:rsidRPr="0026667A">
        <w:rPr>
          <w:rFonts w:ascii="Times New Roman" w:hAnsi="Times New Roman" w:cs="Times New Roman"/>
          <w:i/>
          <w:sz w:val="24"/>
          <w:szCs w:val="24"/>
        </w:rPr>
        <w:t>«</w:t>
      </w:r>
      <w:r w:rsidR="00A823EF" w:rsidRPr="0026667A">
        <w:rPr>
          <w:rFonts w:ascii="Times New Roman" w:hAnsi="Times New Roman" w:cs="Times New Roman"/>
          <w:i/>
          <w:sz w:val="24"/>
          <w:szCs w:val="24"/>
        </w:rPr>
        <w:t>Riducendo alla sottomissione ogni intelletto</w:t>
      </w:r>
      <w:r w:rsidR="00AE205F" w:rsidRPr="0026667A">
        <w:rPr>
          <w:rFonts w:ascii="Times New Roman" w:hAnsi="Times New Roman" w:cs="Times New Roman"/>
          <w:i/>
          <w:sz w:val="24"/>
          <w:szCs w:val="24"/>
        </w:rPr>
        <w:t>»</w:t>
      </w:r>
      <w:r w:rsidR="00A823EF" w:rsidRPr="0026667A">
        <w:rPr>
          <w:rFonts w:ascii="Times New Roman" w:hAnsi="Times New Roman" w:cs="Times New Roman"/>
          <w:i/>
          <w:sz w:val="24"/>
          <w:szCs w:val="24"/>
        </w:rPr>
        <w:t>). È per questo motivo che nel credente può insorgere una spinta contraria alle convinzioni in cui egli saldamente crede, mentre in colui che conosce</w:t>
      </w:r>
      <w:r w:rsidR="00DA4D6F" w:rsidRPr="0026667A">
        <w:rPr>
          <w:rFonts w:ascii="Times New Roman" w:hAnsi="Times New Roman" w:cs="Times New Roman"/>
          <w:i/>
          <w:sz w:val="24"/>
          <w:szCs w:val="24"/>
        </w:rPr>
        <w:t xml:space="preserve"> </w:t>
      </w:r>
      <w:r w:rsidR="00A823EF" w:rsidRPr="0026667A">
        <w:rPr>
          <w:rFonts w:ascii="Times New Roman" w:hAnsi="Times New Roman" w:cs="Times New Roman"/>
          <w:i/>
          <w:sz w:val="24"/>
          <w:szCs w:val="24"/>
        </w:rPr>
        <w:t>con l'intelletto o acquisisce conoscenze per via razionale questo non può accadere.</w:t>
      </w:r>
      <w:r w:rsidR="00DA4D6F" w:rsidRPr="0026667A">
        <w:rPr>
          <w:rFonts w:ascii="Times New Roman" w:hAnsi="Times New Roman" w:cs="Times New Roman"/>
          <w:i/>
          <w:sz w:val="24"/>
          <w:szCs w:val="24"/>
        </w:rPr>
        <w:t xml:space="preserve"> </w:t>
      </w:r>
      <w:r w:rsidR="00A823EF" w:rsidRPr="0026667A">
        <w:rPr>
          <w:rFonts w:ascii="Times New Roman" w:hAnsi="Times New Roman" w:cs="Times New Roman"/>
          <w:i/>
          <w:sz w:val="24"/>
          <w:szCs w:val="24"/>
        </w:rPr>
        <w:t>Perciò, in conclusione, a causa dell'assenso l'operazione del credere è distinta da quella in cui l'intelletto coglie le forme semplici, cioè le essenze, ed è distinta anche dal dubbio e dall'opinione; a causa della</w:t>
      </w:r>
      <w:r w:rsidR="00DA4D6F" w:rsidRPr="0026667A">
        <w:rPr>
          <w:rFonts w:ascii="Times New Roman" w:hAnsi="Times New Roman" w:cs="Times New Roman"/>
          <w:i/>
          <w:sz w:val="24"/>
          <w:szCs w:val="24"/>
        </w:rPr>
        <w:t xml:space="preserve"> </w:t>
      </w:r>
      <w:r w:rsidR="00A823EF" w:rsidRPr="0026667A">
        <w:rPr>
          <w:rFonts w:ascii="Times New Roman" w:hAnsi="Times New Roman" w:cs="Times New Roman"/>
          <w:i/>
          <w:sz w:val="24"/>
          <w:szCs w:val="24"/>
        </w:rPr>
        <w:t>riflessione, invece, è distinta dall'intelletto e, infine, poiché la riflessione e l'assenso sono quasi sullo stesso piano il credere si distingue dalla scienza</w:t>
      </w:r>
      <w:r w:rsidR="0026667A">
        <w:rPr>
          <w:rFonts w:ascii="Times New Roman" w:hAnsi="Times New Roman" w:cs="Times New Roman"/>
          <w:sz w:val="24"/>
          <w:szCs w:val="24"/>
        </w:rPr>
        <w:t>»</w:t>
      </w:r>
      <w:r w:rsidR="00A823EF" w:rsidRPr="00A823EF">
        <w:rPr>
          <w:rFonts w:ascii="Times New Roman" w:hAnsi="Times New Roman" w:cs="Times New Roman"/>
          <w:sz w:val="24"/>
          <w:szCs w:val="24"/>
        </w:rPr>
        <w:t>.</w:t>
      </w:r>
    </w:p>
    <w:p w:rsidR="00A823EF" w:rsidRPr="00125E13" w:rsidRDefault="0026667A" w:rsidP="0077501B">
      <w:pPr>
        <w:spacing w:after="0" w:line="240" w:lineRule="auto"/>
        <w:rPr>
          <w:rFonts w:ascii="Times New Roman" w:hAnsi="Times New Roman" w:cs="Times New Roman"/>
          <w:sz w:val="24"/>
          <w:szCs w:val="24"/>
        </w:rPr>
      </w:pPr>
      <w:r w:rsidRPr="00FF1543">
        <w:rPr>
          <w:rFonts w:ascii="Times New Roman" w:hAnsi="Times New Roman" w:cs="Times New Roman"/>
          <w:b/>
          <w:sz w:val="24"/>
          <w:szCs w:val="24"/>
        </w:rPr>
        <w:t>Un nota bene</w:t>
      </w:r>
      <w:r>
        <w:rPr>
          <w:rFonts w:ascii="Times New Roman" w:hAnsi="Times New Roman" w:cs="Times New Roman"/>
          <w:sz w:val="24"/>
          <w:szCs w:val="24"/>
        </w:rPr>
        <w:t xml:space="preserve">: </w:t>
      </w:r>
      <w:r w:rsidR="0095066E">
        <w:rPr>
          <w:rFonts w:ascii="Times New Roman" w:hAnsi="Times New Roman" w:cs="Times New Roman"/>
          <w:sz w:val="24"/>
          <w:szCs w:val="24"/>
        </w:rPr>
        <w:t xml:space="preserve">occorre sapersi muovere tra le </w:t>
      </w:r>
      <w:proofErr w:type="spellStart"/>
      <w:r w:rsidR="0095066E">
        <w:rPr>
          <w:rFonts w:ascii="Times New Roman" w:hAnsi="Times New Roman" w:cs="Times New Roman"/>
          <w:sz w:val="24"/>
          <w:szCs w:val="24"/>
        </w:rPr>
        <w:t>auctoritates</w:t>
      </w:r>
      <w:proofErr w:type="spellEnd"/>
      <w:r w:rsidR="0095066E">
        <w:rPr>
          <w:rFonts w:ascii="Times New Roman" w:hAnsi="Times New Roman" w:cs="Times New Roman"/>
          <w:sz w:val="24"/>
          <w:szCs w:val="24"/>
        </w:rPr>
        <w:t xml:space="preserve">, come </w:t>
      </w:r>
      <w:r w:rsidR="00EC41EC">
        <w:rPr>
          <w:rFonts w:ascii="Times New Roman" w:hAnsi="Times New Roman" w:cs="Times New Roman"/>
          <w:sz w:val="24"/>
          <w:szCs w:val="24"/>
        </w:rPr>
        <w:t xml:space="preserve">deve fare la </w:t>
      </w:r>
      <w:r w:rsidR="0095066E">
        <w:rPr>
          <w:rFonts w:ascii="Times New Roman" w:hAnsi="Times New Roman" w:cs="Times New Roman"/>
          <w:sz w:val="24"/>
          <w:szCs w:val="24"/>
        </w:rPr>
        <w:t>teologia: «</w:t>
      </w:r>
      <w:r w:rsidR="0095066E" w:rsidRPr="0026667A">
        <w:rPr>
          <w:rFonts w:ascii="Times New Roman" w:hAnsi="Times New Roman" w:cs="Times New Roman"/>
          <w:i/>
          <w:sz w:val="24"/>
          <w:szCs w:val="24"/>
        </w:rPr>
        <w:t>delle autorità della Scrittura canonica si serve come di argomenti propri e rigorosi</w:t>
      </w:r>
      <w:r w:rsidR="0095066E">
        <w:rPr>
          <w:rFonts w:ascii="Times New Roman" w:hAnsi="Times New Roman" w:cs="Times New Roman"/>
          <w:i/>
          <w:sz w:val="24"/>
          <w:szCs w:val="24"/>
        </w:rPr>
        <w:t xml:space="preserve"> </w:t>
      </w:r>
      <w:r w:rsidR="0095066E" w:rsidRPr="00AF2853">
        <w:rPr>
          <w:rFonts w:ascii="Times New Roman" w:hAnsi="Times New Roman" w:cs="Times New Roman"/>
          <w:szCs w:val="24"/>
        </w:rPr>
        <w:t>[</w:t>
      </w:r>
      <w:r w:rsidR="00B875C5" w:rsidRPr="00AF2853">
        <w:rPr>
          <w:rFonts w:ascii="Times New Roman" w:hAnsi="Times New Roman"/>
          <w:lang w:val="la-Latn"/>
        </w:rPr>
        <w:t>proprie, ex necessitate argomentando</w:t>
      </w:r>
      <w:r w:rsidR="00EC41EC" w:rsidRPr="00AF2853">
        <w:rPr>
          <w:rFonts w:ascii="Times New Roman" w:hAnsi="Times New Roman"/>
        </w:rPr>
        <w:t>]</w:t>
      </w:r>
      <w:r w:rsidR="005F3FB8">
        <w:rPr>
          <w:rFonts w:ascii="Times New Roman" w:hAnsi="Times New Roman"/>
          <w:sz w:val="24"/>
        </w:rPr>
        <w:t xml:space="preserve">. </w:t>
      </w:r>
      <w:r w:rsidR="00EC41EC" w:rsidRPr="00EC41EC">
        <w:rPr>
          <w:rFonts w:ascii="Times New Roman" w:hAnsi="Times New Roman"/>
          <w:i/>
          <w:sz w:val="24"/>
        </w:rPr>
        <w:t>Delle sentenze dei Dottori della Chiesa essa si serve come di argomenti propri, ma solo probabili</w:t>
      </w:r>
      <w:r w:rsidR="00EC41EC">
        <w:rPr>
          <w:rFonts w:ascii="Times New Roman" w:hAnsi="Times New Roman"/>
          <w:sz w:val="24"/>
        </w:rPr>
        <w:t xml:space="preserve"> </w:t>
      </w:r>
      <w:r w:rsidR="00EC41EC" w:rsidRPr="00AF2853">
        <w:rPr>
          <w:rFonts w:ascii="Times New Roman" w:hAnsi="Times New Roman"/>
          <w:szCs w:val="24"/>
        </w:rPr>
        <w:t>[</w:t>
      </w:r>
      <w:r w:rsidR="00EC41EC" w:rsidRPr="00AF2853">
        <w:rPr>
          <w:rFonts w:ascii="Times New Roman" w:hAnsi="Times New Roman"/>
          <w:szCs w:val="24"/>
          <w:lang w:val="la-Latn"/>
        </w:rPr>
        <w:t>arguendo ex propriis, sed probabiliter</w:t>
      </w:r>
      <w:r w:rsidR="00B875C5" w:rsidRPr="00AF2853">
        <w:rPr>
          <w:rFonts w:ascii="Times New Roman" w:hAnsi="Times New Roman"/>
          <w:szCs w:val="24"/>
        </w:rPr>
        <w:t>]</w:t>
      </w:r>
      <w:r w:rsidR="0095066E">
        <w:rPr>
          <w:rFonts w:ascii="Times New Roman" w:hAnsi="Times New Roman" w:cs="Times New Roman"/>
          <w:sz w:val="24"/>
          <w:szCs w:val="24"/>
        </w:rPr>
        <w:t>»</w:t>
      </w:r>
      <w:r w:rsidR="00B875C5">
        <w:rPr>
          <w:rFonts w:ascii="Times New Roman" w:hAnsi="Times New Roman" w:cs="Times New Roman"/>
          <w:sz w:val="24"/>
          <w:szCs w:val="24"/>
        </w:rPr>
        <w:t xml:space="preserve">, </w:t>
      </w:r>
      <w:r w:rsidR="00EC41EC">
        <w:rPr>
          <w:rFonts w:ascii="Times New Roman" w:hAnsi="Times New Roman" w:cs="Times New Roman"/>
          <w:sz w:val="24"/>
          <w:szCs w:val="24"/>
        </w:rPr>
        <w:t>delle autorità dei filosofi «</w:t>
      </w:r>
      <w:r w:rsidRPr="0026667A">
        <w:rPr>
          <w:rFonts w:ascii="Times New Roman" w:hAnsi="Times New Roman" w:cs="Times New Roman"/>
          <w:i/>
          <w:sz w:val="24"/>
          <w:szCs w:val="24"/>
        </w:rPr>
        <w:t>fa uso come di argomenti estranei e probabili</w:t>
      </w:r>
      <w:r w:rsidR="00AF2853">
        <w:rPr>
          <w:rFonts w:ascii="Times New Roman" w:hAnsi="Times New Roman" w:cs="Times New Roman"/>
          <w:i/>
          <w:sz w:val="24"/>
          <w:szCs w:val="24"/>
        </w:rPr>
        <w:t xml:space="preserve"> </w:t>
      </w:r>
      <w:r w:rsidR="00AF2853" w:rsidRPr="00AF2853">
        <w:rPr>
          <w:rFonts w:ascii="Times New Roman" w:hAnsi="Times New Roman" w:cs="Times New Roman"/>
          <w:sz w:val="24"/>
          <w:szCs w:val="24"/>
        </w:rPr>
        <w:t>[</w:t>
      </w:r>
      <w:r w:rsidR="00AF2853" w:rsidRPr="00AF2853">
        <w:rPr>
          <w:rFonts w:ascii="Times New Roman" w:hAnsi="Times New Roman"/>
          <w:lang w:val="la-Latn"/>
        </w:rPr>
        <w:t>extraneis argumentis, et probabilibus</w:t>
      </w:r>
      <w:r w:rsidR="00AF2853" w:rsidRPr="00AF2853">
        <w:rPr>
          <w:rFonts w:ascii="Times New Roman" w:hAnsi="Times New Roman"/>
        </w:rPr>
        <w:t>]</w:t>
      </w:r>
      <w:r w:rsidR="00EC41EC">
        <w:rPr>
          <w:rFonts w:ascii="Times New Roman" w:hAnsi="Times New Roman" w:cs="Times New Roman"/>
          <w:sz w:val="24"/>
          <w:szCs w:val="24"/>
        </w:rPr>
        <w:t xml:space="preserve">». Una logica </w:t>
      </w:r>
      <w:r w:rsidR="00AF2853">
        <w:rPr>
          <w:rFonts w:ascii="Times New Roman" w:hAnsi="Times New Roman" w:cs="Times New Roman"/>
          <w:sz w:val="24"/>
          <w:szCs w:val="24"/>
        </w:rPr>
        <w:t xml:space="preserve">plurima </w:t>
      </w:r>
      <w:r w:rsidR="00EC41EC">
        <w:rPr>
          <w:rFonts w:ascii="Times New Roman" w:hAnsi="Times New Roman" w:cs="Times New Roman"/>
          <w:sz w:val="24"/>
          <w:szCs w:val="24"/>
        </w:rPr>
        <w:t>di fruiz</w:t>
      </w:r>
      <w:r>
        <w:rPr>
          <w:rFonts w:ascii="Times New Roman" w:hAnsi="Times New Roman" w:cs="Times New Roman"/>
          <w:sz w:val="24"/>
          <w:szCs w:val="24"/>
        </w:rPr>
        <w:t>ione</w:t>
      </w:r>
      <w:r w:rsidR="00EC41EC">
        <w:rPr>
          <w:rFonts w:ascii="Times New Roman" w:hAnsi="Times New Roman" w:cs="Times New Roman"/>
          <w:sz w:val="24"/>
          <w:szCs w:val="24"/>
        </w:rPr>
        <w:t xml:space="preserve"> e di </w:t>
      </w:r>
      <w:r w:rsidR="001D506D">
        <w:rPr>
          <w:rFonts w:ascii="Times New Roman" w:hAnsi="Times New Roman" w:cs="Times New Roman"/>
          <w:sz w:val="24"/>
          <w:szCs w:val="24"/>
        </w:rPr>
        <w:t>utilizzo</w:t>
      </w:r>
      <w:r w:rsidR="00EC41EC">
        <w:rPr>
          <w:rFonts w:ascii="Times New Roman" w:hAnsi="Times New Roman" w:cs="Times New Roman"/>
          <w:sz w:val="24"/>
          <w:szCs w:val="24"/>
        </w:rPr>
        <w:t xml:space="preserve"> </w:t>
      </w:r>
      <w:r w:rsidR="00AF2853">
        <w:rPr>
          <w:rFonts w:ascii="Times New Roman" w:hAnsi="Times New Roman" w:cs="Times New Roman"/>
          <w:sz w:val="24"/>
          <w:szCs w:val="24"/>
        </w:rPr>
        <w:t>che richiama una attenzione più generale a</w:t>
      </w:r>
      <w:r w:rsidR="001D506D">
        <w:rPr>
          <w:rFonts w:ascii="Times New Roman" w:hAnsi="Times New Roman" w:cs="Times New Roman"/>
          <w:sz w:val="24"/>
          <w:szCs w:val="24"/>
        </w:rPr>
        <w:t>l rapporto complesso</w:t>
      </w:r>
      <w:r w:rsidR="00D91011">
        <w:rPr>
          <w:rFonts w:ascii="Times New Roman" w:hAnsi="Times New Roman" w:cs="Times New Roman"/>
          <w:sz w:val="24"/>
          <w:szCs w:val="24"/>
        </w:rPr>
        <w:t>,</w:t>
      </w:r>
      <w:r w:rsidR="001D506D">
        <w:rPr>
          <w:rFonts w:ascii="Times New Roman" w:hAnsi="Times New Roman" w:cs="Times New Roman"/>
          <w:sz w:val="24"/>
          <w:szCs w:val="24"/>
        </w:rPr>
        <w:t xml:space="preserve"> </w:t>
      </w:r>
      <w:r w:rsidR="00522C26">
        <w:rPr>
          <w:rFonts w:ascii="Times New Roman" w:hAnsi="Times New Roman" w:cs="Times New Roman"/>
          <w:sz w:val="24"/>
          <w:szCs w:val="24"/>
        </w:rPr>
        <w:t>personale</w:t>
      </w:r>
      <w:r w:rsidR="00D91011">
        <w:rPr>
          <w:rFonts w:ascii="Times New Roman" w:hAnsi="Times New Roman" w:cs="Times New Roman"/>
          <w:sz w:val="24"/>
          <w:szCs w:val="24"/>
        </w:rPr>
        <w:t xml:space="preserve"> e libero</w:t>
      </w:r>
      <w:r w:rsidR="001D506D">
        <w:rPr>
          <w:rFonts w:ascii="Times New Roman" w:hAnsi="Times New Roman" w:cs="Times New Roman"/>
          <w:sz w:val="24"/>
          <w:szCs w:val="24"/>
        </w:rPr>
        <w:t xml:space="preserve"> che lega </w:t>
      </w:r>
      <w:r w:rsidR="00AF2853">
        <w:rPr>
          <w:rFonts w:ascii="Times New Roman" w:hAnsi="Times New Roman" w:cs="Times New Roman"/>
          <w:sz w:val="24"/>
          <w:szCs w:val="24"/>
        </w:rPr>
        <w:t xml:space="preserve">ogni lettore </w:t>
      </w:r>
      <w:r w:rsidR="001D506D">
        <w:rPr>
          <w:rFonts w:ascii="Times New Roman" w:hAnsi="Times New Roman" w:cs="Times New Roman"/>
          <w:sz w:val="24"/>
          <w:szCs w:val="24"/>
        </w:rPr>
        <w:t xml:space="preserve">ai testi </w:t>
      </w:r>
      <w:r w:rsidR="00AF2853">
        <w:rPr>
          <w:rFonts w:ascii="Times New Roman" w:hAnsi="Times New Roman" w:cs="Times New Roman"/>
          <w:sz w:val="24"/>
          <w:szCs w:val="24"/>
        </w:rPr>
        <w:t xml:space="preserve">oggetto </w:t>
      </w:r>
      <w:r w:rsidR="001D506D">
        <w:rPr>
          <w:rFonts w:ascii="Times New Roman" w:hAnsi="Times New Roman" w:cs="Times New Roman"/>
          <w:sz w:val="24"/>
          <w:szCs w:val="24"/>
        </w:rPr>
        <w:t xml:space="preserve">delle proprie </w:t>
      </w:r>
      <w:r w:rsidR="00AF2853">
        <w:rPr>
          <w:rFonts w:ascii="Times New Roman" w:hAnsi="Times New Roman" w:cs="Times New Roman"/>
          <w:sz w:val="24"/>
          <w:szCs w:val="24"/>
        </w:rPr>
        <w:t>attenzioni</w:t>
      </w:r>
      <w:r w:rsidR="00522C26">
        <w:rPr>
          <w:rFonts w:ascii="Times New Roman" w:hAnsi="Times New Roman" w:cs="Times New Roman"/>
          <w:sz w:val="24"/>
          <w:szCs w:val="24"/>
        </w:rPr>
        <w:t xml:space="preserve">. </w:t>
      </w:r>
    </w:p>
    <w:sectPr w:rsidR="00A823EF" w:rsidRPr="00125E13"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91A58"/>
    <w:rsid w:val="00006F70"/>
    <w:rsid w:val="00097D8B"/>
    <w:rsid w:val="000C0B95"/>
    <w:rsid w:val="000C2945"/>
    <w:rsid w:val="000C4B20"/>
    <w:rsid w:val="000D16C4"/>
    <w:rsid w:val="00125E13"/>
    <w:rsid w:val="00133589"/>
    <w:rsid w:val="00173B45"/>
    <w:rsid w:val="001D506D"/>
    <w:rsid w:val="001D5B23"/>
    <w:rsid w:val="001D6EDE"/>
    <w:rsid w:val="0020036E"/>
    <w:rsid w:val="0026667A"/>
    <w:rsid w:val="002C1B93"/>
    <w:rsid w:val="002D4E3C"/>
    <w:rsid w:val="00353980"/>
    <w:rsid w:val="003841C7"/>
    <w:rsid w:val="003B5358"/>
    <w:rsid w:val="004751CD"/>
    <w:rsid w:val="004905FD"/>
    <w:rsid w:val="00522C26"/>
    <w:rsid w:val="0053034D"/>
    <w:rsid w:val="00553201"/>
    <w:rsid w:val="005F3FB8"/>
    <w:rsid w:val="006D49D6"/>
    <w:rsid w:val="006F11FF"/>
    <w:rsid w:val="0073197E"/>
    <w:rsid w:val="0077501B"/>
    <w:rsid w:val="0081433A"/>
    <w:rsid w:val="00891A58"/>
    <w:rsid w:val="008A3CA4"/>
    <w:rsid w:val="008C146B"/>
    <w:rsid w:val="008C1CE9"/>
    <w:rsid w:val="008E54E7"/>
    <w:rsid w:val="009119B3"/>
    <w:rsid w:val="0095066E"/>
    <w:rsid w:val="009753CA"/>
    <w:rsid w:val="00987FAE"/>
    <w:rsid w:val="0099665D"/>
    <w:rsid w:val="009A046F"/>
    <w:rsid w:val="009A4A6C"/>
    <w:rsid w:val="00A14B44"/>
    <w:rsid w:val="00A575CC"/>
    <w:rsid w:val="00A61747"/>
    <w:rsid w:val="00A823EF"/>
    <w:rsid w:val="00A84216"/>
    <w:rsid w:val="00AB35F5"/>
    <w:rsid w:val="00AC4034"/>
    <w:rsid w:val="00AE205F"/>
    <w:rsid w:val="00AF2853"/>
    <w:rsid w:val="00B875C5"/>
    <w:rsid w:val="00C27E54"/>
    <w:rsid w:val="00C444D6"/>
    <w:rsid w:val="00C9061B"/>
    <w:rsid w:val="00CD3243"/>
    <w:rsid w:val="00CF5260"/>
    <w:rsid w:val="00D80DDD"/>
    <w:rsid w:val="00D91011"/>
    <w:rsid w:val="00DA4D6F"/>
    <w:rsid w:val="00DD2166"/>
    <w:rsid w:val="00DD7AB9"/>
    <w:rsid w:val="00E3776C"/>
    <w:rsid w:val="00E667A3"/>
    <w:rsid w:val="00E70B2B"/>
    <w:rsid w:val="00E74172"/>
    <w:rsid w:val="00EA2F63"/>
    <w:rsid w:val="00EC41EC"/>
    <w:rsid w:val="00EF7863"/>
    <w:rsid w:val="00F73845"/>
    <w:rsid w:val="00FC3415"/>
    <w:rsid w:val="00FE431E"/>
    <w:rsid w:val="00FF1543"/>
    <w:rsid w:val="00FF57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3841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nhideWhenUsed/>
    <w:rsid w:val="00E667A3"/>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rsid w:val="00E667A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820983">
      <w:bodyDiv w:val="1"/>
      <w:marLeft w:val="0"/>
      <w:marRight w:val="0"/>
      <w:marTop w:val="0"/>
      <w:marBottom w:val="0"/>
      <w:divBdr>
        <w:top w:val="none" w:sz="0" w:space="0" w:color="auto"/>
        <w:left w:val="none" w:sz="0" w:space="0" w:color="auto"/>
        <w:bottom w:val="none" w:sz="0" w:space="0" w:color="auto"/>
        <w:right w:val="none" w:sz="0" w:space="0" w:color="auto"/>
      </w:divBdr>
    </w:div>
    <w:div w:id="52892168">
      <w:bodyDiv w:val="1"/>
      <w:marLeft w:val="0"/>
      <w:marRight w:val="0"/>
      <w:marTop w:val="0"/>
      <w:marBottom w:val="0"/>
      <w:divBdr>
        <w:top w:val="none" w:sz="0" w:space="0" w:color="auto"/>
        <w:left w:val="none" w:sz="0" w:space="0" w:color="auto"/>
        <w:bottom w:val="none" w:sz="0" w:space="0" w:color="auto"/>
        <w:right w:val="none" w:sz="0" w:space="0" w:color="auto"/>
      </w:divBdr>
    </w:div>
    <w:div w:id="83306937">
      <w:bodyDiv w:val="1"/>
      <w:marLeft w:val="0"/>
      <w:marRight w:val="0"/>
      <w:marTop w:val="0"/>
      <w:marBottom w:val="0"/>
      <w:divBdr>
        <w:top w:val="none" w:sz="0" w:space="0" w:color="auto"/>
        <w:left w:val="none" w:sz="0" w:space="0" w:color="auto"/>
        <w:bottom w:val="none" w:sz="0" w:space="0" w:color="auto"/>
        <w:right w:val="none" w:sz="0" w:space="0" w:color="auto"/>
      </w:divBdr>
    </w:div>
    <w:div w:id="114641162">
      <w:bodyDiv w:val="1"/>
      <w:marLeft w:val="0"/>
      <w:marRight w:val="0"/>
      <w:marTop w:val="0"/>
      <w:marBottom w:val="0"/>
      <w:divBdr>
        <w:top w:val="none" w:sz="0" w:space="0" w:color="auto"/>
        <w:left w:val="none" w:sz="0" w:space="0" w:color="auto"/>
        <w:bottom w:val="none" w:sz="0" w:space="0" w:color="auto"/>
        <w:right w:val="none" w:sz="0" w:space="0" w:color="auto"/>
      </w:divBdr>
    </w:div>
    <w:div w:id="190076724">
      <w:bodyDiv w:val="1"/>
      <w:marLeft w:val="0"/>
      <w:marRight w:val="0"/>
      <w:marTop w:val="0"/>
      <w:marBottom w:val="0"/>
      <w:divBdr>
        <w:top w:val="none" w:sz="0" w:space="0" w:color="auto"/>
        <w:left w:val="none" w:sz="0" w:space="0" w:color="auto"/>
        <w:bottom w:val="none" w:sz="0" w:space="0" w:color="auto"/>
        <w:right w:val="none" w:sz="0" w:space="0" w:color="auto"/>
      </w:divBdr>
    </w:div>
    <w:div w:id="466319177">
      <w:bodyDiv w:val="1"/>
      <w:marLeft w:val="0"/>
      <w:marRight w:val="0"/>
      <w:marTop w:val="0"/>
      <w:marBottom w:val="0"/>
      <w:divBdr>
        <w:top w:val="none" w:sz="0" w:space="0" w:color="auto"/>
        <w:left w:val="none" w:sz="0" w:space="0" w:color="auto"/>
        <w:bottom w:val="none" w:sz="0" w:space="0" w:color="auto"/>
        <w:right w:val="none" w:sz="0" w:space="0" w:color="auto"/>
      </w:divBdr>
    </w:div>
    <w:div w:id="486020888">
      <w:bodyDiv w:val="1"/>
      <w:marLeft w:val="0"/>
      <w:marRight w:val="0"/>
      <w:marTop w:val="0"/>
      <w:marBottom w:val="0"/>
      <w:divBdr>
        <w:top w:val="none" w:sz="0" w:space="0" w:color="auto"/>
        <w:left w:val="none" w:sz="0" w:space="0" w:color="auto"/>
        <w:bottom w:val="none" w:sz="0" w:space="0" w:color="auto"/>
        <w:right w:val="none" w:sz="0" w:space="0" w:color="auto"/>
      </w:divBdr>
    </w:div>
    <w:div w:id="497695165">
      <w:bodyDiv w:val="1"/>
      <w:marLeft w:val="0"/>
      <w:marRight w:val="0"/>
      <w:marTop w:val="0"/>
      <w:marBottom w:val="0"/>
      <w:divBdr>
        <w:top w:val="none" w:sz="0" w:space="0" w:color="auto"/>
        <w:left w:val="none" w:sz="0" w:space="0" w:color="auto"/>
        <w:bottom w:val="none" w:sz="0" w:space="0" w:color="auto"/>
        <w:right w:val="none" w:sz="0" w:space="0" w:color="auto"/>
      </w:divBdr>
    </w:div>
    <w:div w:id="620766946">
      <w:bodyDiv w:val="1"/>
      <w:marLeft w:val="0"/>
      <w:marRight w:val="0"/>
      <w:marTop w:val="0"/>
      <w:marBottom w:val="0"/>
      <w:divBdr>
        <w:top w:val="none" w:sz="0" w:space="0" w:color="auto"/>
        <w:left w:val="none" w:sz="0" w:space="0" w:color="auto"/>
        <w:bottom w:val="none" w:sz="0" w:space="0" w:color="auto"/>
        <w:right w:val="none" w:sz="0" w:space="0" w:color="auto"/>
      </w:divBdr>
    </w:div>
    <w:div w:id="643002148">
      <w:bodyDiv w:val="1"/>
      <w:marLeft w:val="0"/>
      <w:marRight w:val="0"/>
      <w:marTop w:val="0"/>
      <w:marBottom w:val="0"/>
      <w:divBdr>
        <w:top w:val="none" w:sz="0" w:space="0" w:color="auto"/>
        <w:left w:val="none" w:sz="0" w:space="0" w:color="auto"/>
        <w:bottom w:val="none" w:sz="0" w:space="0" w:color="auto"/>
        <w:right w:val="none" w:sz="0" w:space="0" w:color="auto"/>
      </w:divBdr>
    </w:div>
    <w:div w:id="779376252">
      <w:bodyDiv w:val="1"/>
      <w:marLeft w:val="0"/>
      <w:marRight w:val="0"/>
      <w:marTop w:val="0"/>
      <w:marBottom w:val="0"/>
      <w:divBdr>
        <w:top w:val="none" w:sz="0" w:space="0" w:color="auto"/>
        <w:left w:val="none" w:sz="0" w:space="0" w:color="auto"/>
        <w:bottom w:val="none" w:sz="0" w:space="0" w:color="auto"/>
        <w:right w:val="none" w:sz="0" w:space="0" w:color="auto"/>
      </w:divBdr>
    </w:div>
    <w:div w:id="1706439297">
      <w:bodyDiv w:val="1"/>
      <w:marLeft w:val="0"/>
      <w:marRight w:val="0"/>
      <w:marTop w:val="0"/>
      <w:marBottom w:val="0"/>
      <w:divBdr>
        <w:top w:val="none" w:sz="0" w:space="0" w:color="auto"/>
        <w:left w:val="none" w:sz="0" w:space="0" w:color="auto"/>
        <w:bottom w:val="none" w:sz="0" w:space="0" w:color="auto"/>
        <w:right w:val="none" w:sz="0" w:space="0" w:color="auto"/>
      </w:divBdr>
    </w:div>
    <w:div w:id="1802575521">
      <w:bodyDiv w:val="1"/>
      <w:marLeft w:val="0"/>
      <w:marRight w:val="0"/>
      <w:marTop w:val="0"/>
      <w:marBottom w:val="0"/>
      <w:divBdr>
        <w:top w:val="none" w:sz="0" w:space="0" w:color="auto"/>
        <w:left w:val="none" w:sz="0" w:space="0" w:color="auto"/>
        <w:bottom w:val="none" w:sz="0" w:space="0" w:color="auto"/>
        <w:right w:val="none" w:sz="0" w:space="0" w:color="auto"/>
      </w:divBdr>
    </w:div>
    <w:div w:id="18518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891EC-FFCB-4FD2-9B5C-C485F620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718</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16</cp:revision>
  <dcterms:created xsi:type="dcterms:W3CDTF">2022-04-28T15:32:00Z</dcterms:created>
  <dcterms:modified xsi:type="dcterms:W3CDTF">2022-05-10T15:59:00Z</dcterms:modified>
</cp:coreProperties>
</file>