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054327BD" w:rsidR="005E73CA" w:rsidRPr="009124C2" w:rsidRDefault="005F0A16" w:rsidP="00CB3121">
            <w:pPr>
              <w:jc w:val="center"/>
              <w:rPr>
                <w:b/>
                <w:sz w:val="40"/>
                <w:szCs w:val="40"/>
              </w:rPr>
            </w:pPr>
            <w:r>
              <w:rPr>
                <w:b/>
                <w:sz w:val="40"/>
                <w:szCs w:val="40"/>
              </w:rPr>
              <w:t>0</w:t>
            </w:r>
            <w:r w:rsidR="00D7478B">
              <w:rPr>
                <w:b/>
                <w:sz w:val="40"/>
                <w:szCs w:val="40"/>
              </w:rPr>
              <w:t>9</w:t>
            </w:r>
          </w:p>
        </w:tc>
        <w:tc>
          <w:tcPr>
            <w:tcW w:w="6783" w:type="dxa"/>
            <w:vAlign w:val="center"/>
          </w:tcPr>
          <w:p w14:paraId="47AB3DF8" w14:textId="56312A94" w:rsidR="005E73CA" w:rsidRPr="005F0A16" w:rsidRDefault="00D7478B" w:rsidP="00CB3121">
            <w:pPr>
              <w:jc w:val="center"/>
              <w:rPr>
                <w:b/>
                <w:i/>
                <w:iCs/>
                <w:szCs w:val="28"/>
              </w:rPr>
            </w:pPr>
            <w:r>
              <w:rPr>
                <w:rFonts w:cs="Arial"/>
                <w:b/>
                <w:bCs/>
                <w:i/>
                <w:iCs/>
                <w:szCs w:val="28"/>
              </w:rPr>
              <w:t>MUSICA E PAROLE. RACC</w:t>
            </w:r>
            <w:r>
              <w:rPr>
                <w:b/>
                <w:bCs/>
                <w:i/>
                <w:iCs/>
                <w:szCs w:val="28"/>
              </w:rPr>
              <w:t>ONTARE LA REALT</w:t>
            </w:r>
            <w:r w:rsidRPr="00D7478B">
              <w:rPr>
                <w:b/>
                <w:bCs/>
                <w:i/>
                <w:iCs/>
                <w:szCs w:val="28"/>
              </w:rPr>
              <w:t>À</w:t>
            </w:r>
            <w:r>
              <w:rPr>
                <w:b/>
                <w:bCs/>
                <w:i/>
                <w:iCs/>
                <w:szCs w:val="28"/>
              </w:rPr>
              <w:t xml:space="preserve"> CON FANTASIA</w:t>
            </w:r>
          </w:p>
        </w:tc>
      </w:tr>
    </w:tbl>
    <w:p w14:paraId="35F3D8F4" w14:textId="77777777" w:rsidR="00CE0E41" w:rsidRPr="00F731E9" w:rsidRDefault="00CE0E41" w:rsidP="00CE0E41">
      <w:pPr>
        <w:rPr>
          <w:sz w:val="14"/>
          <w:szCs w:val="14"/>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49DFACDF" w:rsidR="00CE0E41" w:rsidRPr="005F0A16" w:rsidRDefault="005F0A16" w:rsidP="005F0A16">
            <w:pPr>
              <w:contextualSpacing/>
              <w:jc w:val="both"/>
              <w:outlineLvl w:val="0"/>
              <w:rPr>
                <w:rFonts w:cs="Arial"/>
                <w:b/>
                <w:sz w:val="24"/>
              </w:rPr>
            </w:pPr>
            <w:r w:rsidRPr="005F0A16">
              <w:rPr>
                <w:rFonts w:cs="Arial"/>
                <w:b/>
                <w:sz w:val="24"/>
              </w:rPr>
              <w:t xml:space="preserve">Claudio Morlotti </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0D1B1B82" w:rsidR="00CE0E41" w:rsidRPr="005F0A16" w:rsidRDefault="005F0A16" w:rsidP="00CB3121">
            <w:pPr>
              <w:rPr>
                <w:sz w:val="24"/>
              </w:rPr>
            </w:pPr>
            <w:r w:rsidRPr="005F0A16">
              <w:rPr>
                <w:rFonts w:cs="Arial"/>
                <w:sz w:val="24"/>
              </w:rPr>
              <w:t>Martedì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734944F7" w:rsidR="00CE0E41" w:rsidRPr="005F0A16" w:rsidRDefault="005F0A16" w:rsidP="00CB3121">
            <w:pPr>
              <w:rPr>
                <w:sz w:val="24"/>
              </w:rPr>
            </w:pPr>
            <w:r w:rsidRPr="005F0A16">
              <w:rPr>
                <w:rFonts w:cs="Arial"/>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210EA9B3" w:rsidR="00CE0E41" w:rsidRPr="005F0A16" w:rsidRDefault="00CE0E41" w:rsidP="00CB3121">
            <w:pPr>
              <w:rPr>
                <w:sz w:val="24"/>
              </w:rPr>
            </w:pPr>
            <w:r w:rsidRPr="005F0A16">
              <w:rPr>
                <w:sz w:val="24"/>
              </w:rPr>
              <w:t xml:space="preserve">Dal </w:t>
            </w:r>
            <w:r w:rsidR="00D7478B">
              <w:rPr>
                <w:rFonts w:cs="Arial"/>
                <w:sz w:val="24"/>
              </w:rPr>
              <w:t>31 ottobre</w:t>
            </w:r>
            <w:r w:rsidR="005F0A16" w:rsidRPr="005F0A16">
              <w:rPr>
                <w:rFonts w:cs="Arial"/>
                <w:sz w:val="24"/>
              </w:rPr>
              <w:t xml:space="preserve"> al </w:t>
            </w:r>
            <w:r w:rsidR="00D7478B">
              <w:rPr>
                <w:rFonts w:cs="Arial"/>
                <w:sz w:val="24"/>
              </w:rPr>
              <w:t>28 novembre</w:t>
            </w:r>
            <w:r w:rsidR="005F0A16" w:rsidRPr="005F0A16">
              <w:rPr>
                <w:rFonts w:cs="Arial"/>
                <w:sz w:val="24"/>
              </w:rPr>
              <w:t xml:space="preserve"> 2023 (5 incontri</w:t>
            </w:r>
            <w:r w:rsidR="00BE6F29">
              <w:rPr>
                <w:rFonts w:cs="Arial"/>
                <w:sz w:val="24"/>
              </w:rPr>
              <w:t xml:space="preserve"> - </w:t>
            </w:r>
            <w:r w:rsidR="00F731E9" w:rsidRPr="005F0A16">
              <w:rPr>
                <w:rFonts w:cs="Arial"/>
                <w:sz w:val="24"/>
              </w:rPr>
              <w:t>€ 20,00)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36730729" w:rsidR="00CE0E41" w:rsidRPr="005F0A16" w:rsidRDefault="005F0A16" w:rsidP="00CB3121">
            <w:pPr>
              <w:jc w:val="both"/>
              <w:rPr>
                <w:sz w:val="24"/>
              </w:rPr>
            </w:pPr>
            <w:r w:rsidRPr="005F0A16">
              <w:rPr>
                <w:rFonts w:cs="Arial"/>
                <w:sz w:val="24"/>
              </w:rPr>
              <w:t xml:space="preserve">La Porta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65DC2761" w:rsidR="00CE0E41" w:rsidRPr="005F0A16" w:rsidRDefault="005F0A16" w:rsidP="005F0A16">
            <w:pPr>
              <w:pStyle w:val="ox-e08fde784e-msonormal"/>
              <w:spacing w:before="0" w:beforeAutospacing="0" w:after="0" w:afterAutospacing="0"/>
              <w:jc w:val="both"/>
              <w:rPr>
                <w:rFonts w:ascii="Arial" w:hAnsi="Arial" w:cs="Arial"/>
              </w:rPr>
            </w:pPr>
            <w:r w:rsidRPr="005F0A16">
              <w:rPr>
                <w:rStyle w:val="Enfasigrassetto"/>
                <w:rFonts w:ascii="Arial" w:hAnsi="Arial" w:cs="Arial"/>
              </w:rPr>
              <w:t>MUSICA</w:t>
            </w:r>
            <w:r w:rsidRPr="005F0A16">
              <w:rPr>
                <w:rStyle w:val="apple-converted-space"/>
                <w:rFonts w:ascii="Arial" w:hAnsi="Arial" w:cs="Arial"/>
              </w:rPr>
              <w:t xml:space="preserve"> </w:t>
            </w:r>
            <w:r w:rsidRPr="005F0A16">
              <w:rPr>
                <w:rFonts w:ascii="Arial" w:hAnsi="Arial" w:cs="Arial"/>
              </w:rPr>
              <w:t>(max 60)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365F9DD5" w:rsidR="00CE0E41" w:rsidRPr="00D7478B" w:rsidRDefault="00D7478B" w:rsidP="00D7478B">
            <w:pPr>
              <w:rPr>
                <w:rFonts w:cs="Arial"/>
                <w:i/>
                <w:iCs/>
                <w:sz w:val="24"/>
              </w:rPr>
            </w:pPr>
            <w:r w:rsidRPr="00D7478B">
              <w:rPr>
                <w:rFonts w:cs="Arial"/>
                <w:i/>
                <w:iCs/>
                <w:sz w:val="24"/>
              </w:rPr>
              <w:t>In contrapposizione ai “Canzonettari” come De André chiamava gli autori di canzonette di facile successo che lasciano il tempo che trovano, i cantautori presentati in questo ciclo di incontri hanno lasciato un’eredità importante e una biblioteca ricca di racconti che, come nella migliore tradizione dei cantastorie, esaltano la grandezza di alcuni momenti della vita e mettono a nudo le miserie di altri. In sostanza: “raccontano l’uomo”.</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002D9BC6" w:rsidR="00CE0E41" w:rsidRPr="009124C2" w:rsidRDefault="00D7478B" w:rsidP="005E73CA">
            <w:pPr>
              <w:ind w:left="57"/>
              <w:jc w:val="center"/>
              <w:rPr>
                <w:sz w:val="22"/>
                <w:szCs w:val="22"/>
              </w:rPr>
            </w:pPr>
            <w:r>
              <w:rPr>
                <w:sz w:val="22"/>
                <w:szCs w:val="22"/>
              </w:rPr>
              <w:t>31.10</w:t>
            </w:r>
            <w:r w:rsidR="005F0A16">
              <w:rPr>
                <w:sz w:val="22"/>
                <w:szCs w:val="22"/>
              </w:rPr>
              <w:t>.2023</w:t>
            </w:r>
          </w:p>
        </w:tc>
        <w:tc>
          <w:tcPr>
            <w:tcW w:w="7487" w:type="dxa"/>
            <w:vAlign w:val="center"/>
          </w:tcPr>
          <w:p w14:paraId="24F22078" w14:textId="77777777" w:rsidR="006C5F9A" w:rsidRPr="00BE6F29" w:rsidRDefault="006C5F9A" w:rsidP="006C5F9A">
            <w:pPr>
              <w:keepNext/>
              <w:outlineLvl w:val="1"/>
              <w:rPr>
                <w:rFonts w:cs="Arial"/>
                <w:sz w:val="24"/>
              </w:rPr>
            </w:pPr>
            <w:r w:rsidRPr="00BE6F29">
              <w:rPr>
                <w:rFonts w:cs="Arial"/>
                <w:sz w:val="24"/>
              </w:rPr>
              <w:t>“Battisti e Mogol: Pensieri e parole”</w:t>
            </w:r>
          </w:p>
          <w:p w14:paraId="77D4713C" w14:textId="77777777" w:rsidR="006C5F9A" w:rsidRPr="00BE6F29" w:rsidRDefault="006C5F9A" w:rsidP="006C5F9A">
            <w:pPr>
              <w:rPr>
                <w:rFonts w:cs="Arial"/>
                <w:sz w:val="24"/>
              </w:rPr>
            </w:pPr>
            <w:r w:rsidRPr="00BE6F29">
              <w:rPr>
                <w:rFonts w:cs="Arial"/>
                <w:sz w:val="24"/>
              </w:rPr>
              <w:t xml:space="preserve">Un concerto dedicato alla coppia di artisti che ha rivoluzionato il mondo della musica leggera italiana. Da quando è nato il duo Mogol-Battisti, la musica leggera italiana non è più stata la stessa, gruppi musicali e cantanti hanno fatto a gara per avere le loro canzoni, così all’inizio degli anni 70 non era raro trovare in classifica tre o quattro canzoni interpretate da artisti diversi ma tutte scritte da loro. </w:t>
            </w:r>
          </w:p>
          <w:p w14:paraId="2C08FC3D" w14:textId="77777777" w:rsidR="006C5F9A" w:rsidRPr="00BE6F29" w:rsidRDefault="006C5F9A" w:rsidP="006C5F9A">
            <w:pPr>
              <w:rPr>
                <w:rFonts w:cs="Arial"/>
                <w:sz w:val="24"/>
              </w:rPr>
            </w:pPr>
            <w:r w:rsidRPr="00BE6F29">
              <w:rPr>
                <w:rFonts w:cs="Arial"/>
                <w:sz w:val="24"/>
              </w:rPr>
              <w:t xml:space="preserve">Quando poi Lucio ha deciso di interpretare lei stesso i suoi brani, la “non voce” di Battisti ha condizionato a tal punto che tutti in </w:t>
            </w:r>
            <w:proofErr w:type="spellStart"/>
            <w:r w:rsidRPr="00BE6F29">
              <w:rPr>
                <w:rFonts w:cs="Arial"/>
                <w:sz w:val="24"/>
              </w:rPr>
              <w:t>italia</w:t>
            </w:r>
            <w:proofErr w:type="spellEnd"/>
            <w:r w:rsidRPr="00BE6F29">
              <w:rPr>
                <w:rFonts w:cs="Arial"/>
                <w:sz w:val="24"/>
              </w:rPr>
              <w:t xml:space="preserve"> per qualche anno si sono messi a cantare “alla Battisti”. </w:t>
            </w:r>
          </w:p>
          <w:p w14:paraId="5C2B06AB" w14:textId="112D67E9" w:rsidR="00CE0E41" w:rsidRPr="00BE6F29" w:rsidRDefault="00CE0E41" w:rsidP="00CB3121">
            <w:pPr>
              <w:rPr>
                <w:rFonts w:cs="Arial"/>
                <w:sz w:val="24"/>
              </w:rPr>
            </w:pP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49469648" w:rsidR="00CE0E41" w:rsidRPr="009124C2" w:rsidRDefault="005F0A16" w:rsidP="005E73CA">
            <w:pPr>
              <w:ind w:left="57"/>
              <w:jc w:val="center"/>
              <w:rPr>
                <w:sz w:val="22"/>
                <w:szCs w:val="22"/>
              </w:rPr>
            </w:pPr>
            <w:r>
              <w:rPr>
                <w:sz w:val="22"/>
                <w:szCs w:val="22"/>
              </w:rPr>
              <w:t>0</w:t>
            </w:r>
            <w:r w:rsidR="00D7478B">
              <w:rPr>
                <w:sz w:val="22"/>
                <w:szCs w:val="22"/>
              </w:rPr>
              <w:t>7</w:t>
            </w:r>
            <w:r>
              <w:rPr>
                <w:sz w:val="22"/>
                <w:szCs w:val="22"/>
              </w:rPr>
              <w:t>.1</w:t>
            </w:r>
            <w:r w:rsidR="00D7478B">
              <w:rPr>
                <w:sz w:val="22"/>
                <w:szCs w:val="22"/>
              </w:rPr>
              <w:t>1</w:t>
            </w:r>
            <w:r>
              <w:rPr>
                <w:sz w:val="22"/>
                <w:szCs w:val="22"/>
              </w:rPr>
              <w:t>.2023</w:t>
            </w:r>
          </w:p>
        </w:tc>
        <w:tc>
          <w:tcPr>
            <w:tcW w:w="7487" w:type="dxa"/>
            <w:vAlign w:val="center"/>
          </w:tcPr>
          <w:p w14:paraId="03FBEE3B" w14:textId="77777777" w:rsidR="006C5F9A" w:rsidRPr="00BE6F29" w:rsidRDefault="006C5F9A" w:rsidP="006C5F9A">
            <w:pPr>
              <w:keepNext/>
              <w:outlineLvl w:val="1"/>
              <w:rPr>
                <w:rFonts w:cs="Arial"/>
                <w:sz w:val="24"/>
              </w:rPr>
            </w:pPr>
            <w:r w:rsidRPr="00BE6F29">
              <w:rPr>
                <w:rFonts w:cs="Arial"/>
                <w:b/>
                <w:bCs/>
                <w:sz w:val="24"/>
              </w:rPr>
              <w:t>“Faber di via del Campo”</w:t>
            </w:r>
            <w:r w:rsidRPr="00BE6F29">
              <w:rPr>
                <w:rFonts w:cs="Arial"/>
                <w:sz w:val="24"/>
              </w:rPr>
              <w:t xml:space="preserve"> Un recital di canzoni del più grande cantautore italiano di tutti i tempi,  </w:t>
            </w:r>
          </w:p>
          <w:p w14:paraId="5758CCED" w14:textId="24D31A1E" w:rsidR="006C5F9A" w:rsidRPr="00BE6F29" w:rsidRDefault="006C5F9A" w:rsidP="006C5F9A">
            <w:pPr>
              <w:rPr>
                <w:rFonts w:cs="Arial"/>
                <w:sz w:val="24"/>
              </w:rPr>
            </w:pPr>
            <w:r w:rsidRPr="00BE6F29">
              <w:rPr>
                <w:rFonts w:cs="Arial"/>
                <w:sz w:val="24"/>
              </w:rPr>
              <w:t>L’itinerario musicale ripercorre gli inizi di Fabrizio de Andr</w:t>
            </w:r>
            <w:r w:rsidR="00BE6F29">
              <w:rPr>
                <w:rFonts w:cs="Arial"/>
                <w:sz w:val="24"/>
              </w:rPr>
              <w:t>é</w:t>
            </w:r>
            <w:r w:rsidRPr="00BE6F29">
              <w:rPr>
                <w:rFonts w:cs="Arial"/>
                <w:sz w:val="24"/>
              </w:rPr>
              <w:t xml:space="preserve">, e segue passo </w:t>
            </w:r>
            <w:proofErr w:type="spellStart"/>
            <w:r w:rsidRPr="00BE6F29">
              <w:rPr>
                <w:rFonts w:cs="Arial"/>
                <w:sz w:val="24"/>
              </w:rPr>
              <w:t>passo</w:t>
            </w:r>
            <w:proofErr w:type="spellEnd"/>
            <w:r w:rsidRPr="00BE6F29">
              <w:rPr>
                <w:rFonts w:cs="Arial"/>
                <w:sz w:val="24"/>
              </w:rPr>
              <w:t xml:space="preserve"> la sua evoluzione sino alle ultime composizioni racchiuse in “Anime Salve”. Nelle canzoni di Fabrizio de Andr</w:t>
            </w:r>
            <w:r w:rsidR="00BE6F29">
              <w:rPr>
                <w:rFonts w:cs="Arial"/>
                <w:sz w:val="24"/>
              </w:rPr>
              <w:t>é</w:t>
            </w:r>
            <w:r w:rsidRPr="00BE6F29">
              <w:rPr>
                <w:rFonts w:cs="Arial"/>
                <w:sz w:val="24"/>
              </w:rPr>
              <w:t xml:space="preserve"> sono racchiusi i ricordi e i compagni d’infanzia, la vita dei carruggi e gli amici delle scorrerie nei vicoli dell’angiporto, gli amori, la denuncia di tutte le guerre e la totale solidarietà alla causa dei deboli e degli emarginati di ogni epoca, colore e paese</w:t>
            </w:r>
          </w:p>
          <w:p w14:paraId="4AC22338" w14:textId="77008A75" w:rsidR="00CE0E41" w:rsidRPr="00BE6F29" w:rsidRDefault="00CE0E41" w:rsidP="00CB3121">
            <w:pPr>
              <w:rPr>
                <w:rFonts w:cs="Arial"/>
                <w:sz w:val="24"/>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0272F8D7" w:rsidR="00CE0E41" w:rsidRPr="009124C2" w:rsidRDefault="005F0A16" w:rsidP="005E73CA">
            <w:pPr>
              <w:ind w:left="57"/>
              <w:jc w:val="center"/>
              <w:rPr>
                <w:sz w:val="22"/>
                <w:szCs w:val="22"/>
              </w:rPr>
            </w:pPr>
            <w:r>
              <w:rPr>
                <w:sz w:val="22"/>
                <w:szCs w:val="22"/>
              </w:rPr>
              <w:t>1</w:t>
            </w:r>
            <w:r w:rsidR="00D7478B">
              <w:rPr>
                <w:sz w:val="22"/>
                <w:szCs w:val="22"/>
              </w:rPr>
              <w:t>4</w:t>
            </w:r>
            <w:r>
              <w:rPr>
                <w:sz w:val="22"/>
                <w:szCs w:val="22"/>
              </w:rPr>
              <w:t>.1</w:t>
            </w:r>
            <w:r w:rsidR="00D7478B">
              <w:rPr>
                <w:sz w:val="22"/>
                <w:szCs w:val="22"/>
              </w:rPr>
              <w:t>1</w:t>
            </w:r>
            <w:r>
              <w:rPr>
                <w:sz w:val="22"/>
                <w:szCs w:val="22"/>
              </w:rPr>
              <w:t>.2023</w:t>
            </w:r>
          </w:p>
        </w:tc>
        <w:tc>
          <w:tcPr>
            <w:tcW w:w="7487" w:type="dxa"/>
            <w:vAlign w:val="center"/>
          </w:tcPr>
          <w:p w14:paraId="660A9C60" w14:textId="77777777" w:rsidR="007C3B7D" w:rsidRPr="00BE6F29" w:rsidRDefault="007C3B7D" w:rsidP="007C3B7D">
            <w:pPr>
              <w:keepNext/>
              <w:outlineLvl w:val="1"/>
              <w:rPr>
                <w:rFonts w:cs="Arial"/>
                <w:b/>
                <w:bCs/>
                <w:sz w:val="24"/>
              </w:rPr>
            </w:pPr>
            <w:r w:rsidRPr="00BE6F29">
              <w:rPr>
                <w:rFonts w:cs="Arial"/>
                <w:b/>
                <w:bCs/>
                <w:sz w:val="24"/>
              </w:rPr>
              <w:t>“Jannacci e Gaber due Corsari a Milano”</w:t>
            </w:r>
          </w:p>
          <w:p w14:paraId="401DF467" w14:textId="77777777" w:rsidR="007C3B7D" w:rsidRPr="00BE6F29" w:rsidRDefault="007C3B7D" w:rsidP="007C3B7D">
            <w:pPr>
              <w:jc w:val="both"/>
              <w:rPr>
                <w:rFonts w:cs="Arial"/>
                <w:sz w:val="24"/>
              </w:rPr>
            </w:pPr>
            <w:r w:rsidRPr="00BE6F29">
              <w:rPr>
                <w:rFonts w:cs="Arial"/>
                <w:sz w:val="24"/>
              </w:rPr>
              <w:t xml:space="preserve">Dalla Milano del dopoguerra all’Italia dei nostri giorni, affreschi di vita, vizi e virtù del Belpaese. Gaber e Jannacci ci hanno lasciato canzoni </w:t>
            </w:r>
            <w:r w:rsidRPr="00BE6F29">
              <w:rPr>
                <w:rFonts w:cs="Arial"/>
                <w:sz w:val="24"/>
              </w:rPr>
              <w:lastRenderedPageBreak/>
              <w:t>che sono commoventi ritratti di luoghi che possiamo riconoscere come nostri e persone nelle quali ci possiamo rispecchiare.</w:t>
            </w:r>
          </w:p>
          <w:p w14:paraId="0DA08E97" w14:textId="31188A5D" w:rsidR="00CE0E41" w:rsidRPr="00BE6F29" w:rsidRDefault="00CE0E41" w:rsidP="00CB3121">
            <w:pPr>
              <w:rPr>
                <w:rFonts w:cs="Arial"/>
                <w:sz w:val="24"/>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lastRenderedPageBreak/>
              <w:t>4</w:t>
            </w:r>
          </w:p>
        </w:tc>
        <w:tc>
          <w:tcPr>
            <w:tcW w:w="1639" w:type="dxa"/>
            <w:vAlign w:val="center"/>
          </w:tcPr>
          <w:p w14:paraId="3A2ECF37" w14:textId="042F1A1B" w:rsidR="00CE0E41" w:rsidRPr="00EB4BE2" w:rsidRDefault="00D7478B" w:rsidP="005E73CA">
            <w:pPr>
              <w:jc w:val="center"/>
              <w:rPr>
                <w:sz w:val="22"/>
                <w:szCs w:val="22"/>
              </w:rPr>
            </w:pPr>
            <w:r>
              <w:rPr>
                <w:sz w:val="22"/>
                <w:szCs w:val="22"/>
              </w:rPr>
              <w:t>21</w:t>
            </w:r>
            <w:r w:rsidR="005F0A16">
              <w:rPr>
                <w:sz w:val="22"/>
                <w:szCs w:val="22"/>
              </w:rPr>
              <w:t>.1</w:t>
            </w:r>
            <w:r w:rsidR="000E799B">
              <w:rPr>
                <w:sz w:val="22"/>
                <w:szCs w:val="22"/>
              </w:rPr>
              <w:t>1</w:t>
            </w:r>
            <w:r w:rsidR="005F0A16">
              <w:rPr>
                <w:sz w:val="22"/>
                <w:szCs w:val="22"/>
              </w:rPr>
              <w:t>.2023</w:t>
            </w:r>
          </w:p>
        </w:tc>
        <w:tc>
          <w:tcPr>
            <w:tcW w:w="7487" w:type="dxa"/>
            <w:vAlign w:val="center"/>
          </w:tcPr>
          <w:p w14:paraId="70E4E02A" w14:textId="77777777" w:rsidR="007C3B7D" w:rsidRPr="00BE6F29" w:rsidRDefault="007C3B7D" w:rsidP="007C3B7D">
            <w:pPr>
              <w:rPr>
                <w:rFonts w:cs="Arial"/>
                <w:b/>
                <w:bCs/>
                <w:sz w:val="22"/>
                <w:szCs w:val="22"/>
              </w:rPr>
            </w:pPr>
            <w:r w:rsidRPr="00BE6F29">
              <w:rPr>
                <w:rFonts w:cs="Arial"/>
                <w:b/>
                <w:bCs/>
                <w:sz w:val="22"/>
                <w:szCs w:val="22"/>
              </w:rPr>
              <w:t>“Luigi Tenco e Sergio Endrigo: il sognatore e il Poeta”</w:t>
            </w:r>
          </w:p>
          <w:p w14:paraId="1778A6F8" w14:textId="77777777" w:rsidR="007C3B7D" w:rsidRPr="00BE6F29" w:rsidRDefault="007C3B7D" w:rsidP="007C3B7D">
            <w:pPr>
              <w:rPr>
                <w:rFonts w:cs="Arial"/>
                <w:sz w:val="22"/>
                <w:szCs w:val="22"/>
              </w:rPr>
            </w:pPr>
            <w:r w:rsidRPr="00BE6F29">
              <w:rPr>
                <w:rFonts w:cs="Arial"/>
                <w:sz w:val="22"/>
                <w:szCs w:val="22"/>
              </w:rPr>
              <w:t>Nell’ambiente musicale, tutti sono concordi nel ritenere che se Luigi Tenco avesse avuto la pazienza di aspettare un paio d’anni sarebbe diventato il punto di riferimento della nuova schiera di cantautori che dalla fine degli anni 60 si stava affacciando sulla scena musicale italiana. Tenco se n’è andato invece a 28 anni, all’inizio del 1967 durante un festival di Sanremo nel quale aveva portato una canzone probabilmente troppo “avanti” per quei tempi e quel luogo. Sergio Endrigo è stato poeta e cantore disincantato del suo tempo e ci ha lasciato un lungo elenco di canzoni che artisti di ogni età e latitudine continuano a cantare.</w:t>
            </w:r>
          </w:p>
          <w:p w14:paraId="30D042A7" w14:textId="0AAA2761" w:rsidR="00CE0E41" w:rsidRPr="00BE6F29" w:rsidRDefault="007C3B7D" w:rsidP="007C3B7D">
            <w:pPr>
              <w:rPr>
                <w:rFonts w:cs="Arial"/>
                <w:sz w:val="22"/>
                <w:szCs w:val="22"/>
              </w:rPr>
            </w:pPr>
            <w:r w:rsidRPr="00BE6F29">
              <w:rPr>
                <w:rFonts w:cs="Arial"/>
                <w:sz w:val="22"/>
                <w:szCs w:val="22"/>
              </w:rPr>
              <w:t>“Perché ho scelto la chitarra?” diceva, “Mia madre non aveva certo i soldi per farmi studiare il pianoforte e poi la chitarra è facile, fa “strimpellare”, costa poco, è facile da trasportare ed è adatta per accompagnare la propria voce”.</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5FB08800" w:rsidR="00CE0E41" w:rsidRPr="009124C2" w:rsidRDefault="005F0A16" w:rsidP="005E73CA">
            <w:pPr>
              <w:ind w:left="57"/>
              <w:jc w:val="center"/>
              <w:rPr>
                <w:sz w:val="22"/>
                <w:szCs w:val="22"/>
              </w:rPr>
            </w:pPr>
            <w:r>
              <w:rPr>
                <w:sz w:val="22"/>
                <w:szCs w:val="22"/>
              </w:rPr>
              <w:t>2</w:t>
            </w:r>
            <w:r w:rsidR="00D7478B">
              <w:rPr>
                <w:sz w:val="22"/>
                <w:szCs w:val="22"/>
              </w:rPr>
              <w:t>8</w:t>
            </w:r>
            <w:r>
              <w:rPr>
                <w:sz w:val="22"/>
                <w:szCs w:val="22"/>
              </w:rPr>
              <w:t>.1</w:t>
            </w:r>
            <w:r w:rsidR="00D7478B">
              <w:rPr>
                <w:sz w:val="22"/>
                <w:szCs w:val="22"/>
              </w:rPr>
              <w:t>1</w:t>
            </w:r>
            <w:r>
              <w:rPr>
                <w:sz w:val="22"/>
                <w:szCs w:val="22"/>
              </w:rPr>
              <w:t>.2023</w:t>
            </w:r>
          </w:p>
        </w:tc>
        <w:tc>
          <w:tcPr>
            <w:tcW w:w="7487" w:type="dxa"/>
            <w:vAlign w:val="center"/>
          </w:tcPr>
          <w:p w14:paraId="04694DCF" w14:textId="77777777" w:rsidR="007C3B7D" w:rsidRPr="00BE6F29" w:rsidRDefault="007C3B7D" w:rsidP="007C3B7D">
            <w:pPr>
              <w:rPr>
                <w:rFonts w:cs="Arial"/>
                <w:iCs/>
                <w:sz w:val="22"/>
                <w:szCs w:val="22"/>
              </w:rPr>
            </w:pPr>
          </w:p>
          <w:p w14:paraId="33B61D22" w14:textId="15A3898F" w:rsidR="007C3B7D" w:rsidRPr="00BE6F29" w:rsidRDefault="007C3B7D" w:rsidP="007C3B7D">
            <w:pPr>
              <w:rPr>
                <w:rFonts w:cs="Arial"/>
                <w:b/>
                <w:bCs/>
                <w:iCs/>
                <w:sz w:val="22"/>
                <w:szCs w:val="22"/>
              </w:rPr>
            </w:pPr>
            <w:r w:rsidRPr="00BE6F29">
              <w:rPr>
                <w:rFonts w:cs="Arial"/>
                <w:b/>
                <w:bCs/>
                <w:iCs/>
                <w:sz w:val="22"/>
                <w:szCs w:val="22"/>
              </w:rPr>
              <w:t xml:space="preserve">Francesco De Gregori “La Donna Cannone e il Generale” </w:t>
            </w:r>
          </w:p>
          <w:p w14:paraId="69402EEC" w14:textId="3DE1005A" w:rsidR="00CE0E41" w:rsidRPr="00BE6F29" w:rsidRDefault="007C3B7D" w:rsidP="007C3B7D">
            <w:pPr>
              <w:rPr>
                <w:rFonts w:cs="Arial"/>
                <w:i/>
                <w:iCs/>
                <w:sz w:val="22"/>
                <w:szCs w:val="22"/>
              </w:rPr>
            </w:pPr>
            <w:r w:rsidRPr="00BE6F29">
              <w:rPr>
                <w:rFonts w:cs="Arial"/>
                <w:iCs/>
                <w:sz w:val="22"/>
                <w:szCs w:val="22"/>
              </w:rPr>
              <w:t xml:space="preserve">Un omaggio al principe dei cantautori italiani, cinquant’anni di “Perle e gioielli” regalate da uno dei </w:t>
            </w:r>
            <w:proofErr w:type="spellStart"/>
            <w:r w:rsidRPr="00BE6F29">
              <w:rPr>
                <w:rFonts w:cs="Arial"/>
                <w:iCs/>
                <w:sz w:val="22"/>
                <w:szCs w:val="22"/>
              </w:rPr>
              <w:t>piu</w:t>
            </w:r>
            <w:proofErr w:type="spellEnd"/>
            <w:r w:rsidRPr="00BE6F29">
              <w:rPr>
                <w:rFonts w:cs="Arial"/>
                <w:iCs/>
                <w:sz w:val="22"/>
                <w:szCs w:val="22"/>
              </w:rPr>
              <w:t xml:space="preserve"> prolifici autori e sensibili interpreti del nostro paese </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41"/>
    <w:rsid w:val="00063365"/>
    <w:rsid w:val="0006714E"/>
    <w:rsid w:val="0007529D"/>
    <w:rsid w:val="000E5061"/>
    <w:rsid w:val="000E799B"/>
    <w:rsid w:val="00262A85"/>
    <w:rsid w:val="00422C2B"/>
    <w:rsid w:val="00437D8A"/>
    <w:rsid w:val="00565751"/>
    <w:rsid w:val="005E73CA"/>
    <w:rsid w:val="005F0A16"/>
    <w:rsid w:val="006C5F9A"/>
    <w:rsid w:val="007C3B7D"/>
    <w:rsid w:val="007E683C"/>
    <w:rsid w:val="00967B0C"/>
    <w:rsid w:val="00B64D67"/>
    <w:rsid w:val="00BE6F29"/>
    <w:rsid w:val="00C8011A"/>
    <w:rsid w:val="00CB6454"/>
    <w:rsid w:val="00CE0E41"/>
    <w:rsid w:val="00D7478B"/>
    <w:rsid w:val="00F73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Enfasigrassetto">
    <w:name w:val="Strong"/>
    <w:basedOn w:val="Carpredefinitoparagrafo"/>
    <w:uiPriority w:val="22"/>
    <w:qFormat/>
    <w:rsid w:val="005F0A16"/>
    <w:rPr>
      <w:b/>
      <w:bCs/>
    </w:rPr>
  </w:style>
  <w:style w:type="character" w:customStyle="1" w:styleId="apple-converted-space">
    <w:name w:val="apple-converted-space"/>
    <w:rsid w:val="005F0A16"/>
  </w:style>
  <w:style w:type="paragraph" w:customStyle="1" w:styleId="ox-e08fde784e-msonormal">
    <w:name w:val="ox-e08fde784e-msonormal"/>
    <w:basedOn w:val="Normale"/>
    <w:rsid w:val="005F0A1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2</cp:revision>
  <dcterms:created xsi:type="dcterms:W3CDTF">2023-06-15T16:31:00Z</dcterms:created>
  <dcterms:modified xsi:type="dcterms:W3CDTF">2023-06-15T16:31:00Z</dcterms:modified>
</cp:coreProperties>
</file>