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43C4" w:rsidRDefault="005C10B4">
      <w:pPr>
        <w:pStyle w:val="Intestazione"/>
        <w:spacing w:after="40"/>
        <w:rPr>
          <w:b/>
          <w:bCs/>
          <w:sz w:val="44"/>
        </w:rPr>
      </w:pPr>
      <w:r>
        <w:rPr>
          <w:noProof/>
        </w:rPr>
        <w:drawing>
          <wp:anchor distT="0" distB="0" distL="114300" distR="114300" simplePos="0" relativeHeight="2" behindDoc="0" locked="0" layoutInCell="0" allowOverlap="1">
            <wp:simplePos x="0" y="0"/>
            <wp:positionH relativeFrom="column">
              <wp:posOffset>0</wp:posOffset>
            </wp:positionH>
            <wp:positionV relativeFrom="paragraph">
              <wp:posOffset>-132080</wp:posOffset>
            </wp:positionV>
            <wp:extent cx="605790" cy="797560"/>
            <wp:effectExtent l="0" t="0" r="0" b="0"/>
            <wp:wrapTight wrapText="bothSides">
              <wp:wrapPolygon edited="0">
                <wp:start x="-27" y="0"/>
                <wp:lineTo x="-27" y="21136"/>
                <wp:lineTo x="21040" y="21136"/>
                <wp:lineTo x="21040" y="0"/>
                <wp:lineTo x="-27" y="0"/>
              </wp:wrapPolygon>
            </wp:wrapTight>
            <wp:docPr id="1"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TU_200X261 "/>
                    <pic:cNvPicPr>
                      <a:picLocks noChangeAspect="1" noChangeArrowheads="1"/>
                    </pic:cNvPicPr>
                  </pic:nvPicPr>
                  <pic:blipFill>
                    <a:blip r:embed="rId4"/>
                    <a:stretch>
                      <a:fillRect/>
                    </a:stretch>
                  </pic:blipFill>
                  <pic:spPr bwMode="auto">
                    <a:xfrm>
                      <a:off x="0" y="0"/>
                      <a:ext cx="605790" cy="797560"/>
                    </a:xfrm>
                    <a:prstGeom prst="rect">
                      <a:avLst/>
                    </a:prstGeom>
                  </pic:spPr>
                </pic:pic>
              </a:graphicData>
            </a:graphic>
          </wp:anchor>
        </w:drawing>
      </w:r>
      <w:r>
        <w:t xml:space="preserve">          </w:t>
      </w:r>
      <w:proofErr w:type="gramStart"/>
      <w:r>
        <w:rPr>
          <w:b/>
          <w:bCs/>
          <w:i/>
          <w:iCs/>
          <w:sz w:val="60"/>
        </w:rPr>
        <w:t>Tu  -</w:t>
      </w:r>
      <w:proofErr w:type="gramEnd"/>
      <w:r>
        <w:rPr>
          <w:b/>
          <w:bCs/>
          <w:i/>
          <w:iCs/>
          <w:sz w:val="60"/>
        </w:rPr>
        <w:t xml:space="preserve">  </w:t>
      </w:r>
      <w:r>
        <w:rPr>
          <w:b/>
          <w:bCs/>
          <w:sz w:val="36"/>
        </w:rPr>
        <w:t xml:space="preserve">TERZA UNIVERSITÀ - </w:t>
      </w:r>
      <w:r>
        <w:rPr>
          <w:b/>
          <w:bCs/>
          <w:sz w:val="44"/>
        </w:rPr>
        <w:t xml:space="preserve"> 2023/24</w:t>
      </w:r>
    </w:p>
    <w:p w:rsidR="002043C4" w:rsidRDefault="005C10B4">
      <w:pPr>
        <w:pStyle w:val="Intestazione"/>
        <w:rPr>
          <w:b/>
          <w:bCs/>
          <w:color w:val="00B050"/>
          <w:sz w:val="24"/>
        </w:rPr>
      </w:pPr>
      <w:r>
        <w:rPr>
          <w:color w:val="00B050"/>
        </w:rPr>
        <w:t xml:space="preserve">                                                           Bergamo –</w:t>
      </w:r>
      <w:r>
        <w:rPr>
          <w:b/>
          <w:color w:val="00B050"/>
        </w:rPr>
        <w:t xml:space="preserve"> </w:t>
      </w:r>
      <w:r>
        <w:rPr>
          <w:b/>
          <w:bCs/>
          <w:color w:val="00B050"/>
          <w:sz w:val="24"/>
        </w:rPr>
        <w:t>SECONDA FASE</w:t>
      </w:r>
    </w:p>
    <w:p w:rsidR="002043C4" w:rsidRDefault="002043C4">
      <w:pPr>
        <w:rPr>
          <w:sz w:val="20"/>
          <w:szCs w:val="20"/>
        </w:rPr>
      </w:pPr>
    </w:p>
    <w:p w:rsidR="002043C4" w:rsidRDefault="002043C4">
      <w:pPr>
        <w:rPr>
          <w:sz w:val="20"/>
          <w:szCs w:val="20"/>
        </w:rPr>
      </w:pPr>
    </w:p>
    <w:p w:rsidR="002043C4" w:rsidRDefault="002043C4">
      <w:pPr>
        <w:rPr>
          <w:sz w:val="20"/>
          <w:szCs w:val="20"/>
        </w:rPr>
      </w:pPr>
    </w:p>
    <w:tbl>
      <w:tblPr>
        <w:tblW w:w="9634" w:type="dxa"/>
        <w:tblLayout w:type="fixed"/>
        <w:tblLook w:val="00A0" w:firstRow="1" w:lastRow="0" w:firstColumn="1" w:lastColumn="0" w:noHBand="0" w:noVBand="0"/>
      </w:tblPr>
      <w:tblGrid>
        <w:gridCol w:w="1964"/>
        <w:gridCol w:w="885"/>
        <w:gridCol w:w="6785"/>
      </w:tblGrid>
      <w:tr w:rsidR="002043C4">
        <w:trPr>
          <w:trHeight w:val="830"/>
        </w:trPr>
        <w:tc>
          <w:tcPr>
            <w:tcW w:w="1964" w:type="dxa"/>
            <w:tcBorders>
              <w:top w:val="single" w:sz="4" w:space="0" w:color="000000"/>
              <w:left w:val="single" w:sz="4" w:space="0" w:color="000000"/>
              <w:bottom w:val="single" w:sz="4" w:space="0" w:color="000000"/>
            </w:tcBorders>
            <w:vAlign w:val="center"/>
          </w:tcPr>
          <w:p w:rsidR="002043C4" w:rsidRDefault="005C10B4">
            <w:pPr>
              <w:jc w:val="center"/>
              <w:rPr>
                <w:szCs w:val="28"/>
              </w:rPr>
            </w:pPr>
            <w:proofErr w:type="gramStart"/>
            <w:r>
              <w:rPr>
                <w:szCs w:val="28"/>
              </w:rPr>
              <w:t>Modulo  n</w:t>
            </w:r>
            <w:proofErr w:type="gramEnd"/>
            <w:r>
              <w:rPr>
                <w:szCs w:val="28"/>
              </w:rPr>
              <w:t>°</w:t>
            </w:r>
          </w:p>
        </w:tc>
        <w:tc>
          <w:tcPr>
            <w:tcW w:w="885" w:type="dxa"/>
            <w:tcBorders>
              <w:top w:val="single" w:sz="4" w:space="0" w:color="000000"/>
              <w:bottom w:val="single" w:sz="4" w:space="0" w:color="000000"/>
            </w:tcBorders>
            <w:vAlign w:val="center"/>
          </w:tcPr>
          <w:p w:rsidR="002043C4" w:rsidRDefault="005C10B4">
            <w:pPr>
              <w:jc w:val="center"/>
              <w:rPr>
                <w:b/>
                <w:sz w:val="40"/>
                <w:szCs w:val="40"/>
              </w:rPr>
            </w:pPr>
            <w:r>
              <w:rPr>
                <w:b/>
                <w:sz w:val="40"/>
                <w:szCs w:val="40"/>
              </w:rPr>
              <w:t>48</w:t>
            </w:r>
          </w:p>
        </w:tc>
        <w:tc>
          <w:tcPr>
            <w:tcW w:w="6785" w:type="dxa"/>
            <w:tcBorders>
              <w:top w:val="single" w:sz="4" w:space="0" w:color="000000"/>
              <w:bottom w:val="single" w:sz="4" w:space="0" w:color="000000"/>
              <w:right w:val="single" w:sz="4" w:space="0" w:color="000000"/>
            </w:tcBorders>
            <w:vAlign w:val="center"/>
          </w:tcPr>
          <w:p w:rsidR="002043C4" w:rsidRDefault="005C10B4">
            <w:pPr>
              <w:rPr>
                <w:rFonts w:cs="Arial"/>
                <w:b/>
                <w:i/>
                <w:iCs/>
                <w:szCs w:val="28"/>
              </w:rPr>
            </w:pPr>
            <w:r>
              <w:rPr>
                <w:rFonts w:cs="Arial"/>
                <w:b/>
                <w:i/>
                <w:iCs/>
                <w:szCs w:val="28"/>
              </w:rPr>
              <w:t>“</w:t>
            </w:r>
            <w:r>
              <w:rPr>
                <w:rFonts w:cs="Arial"/>
                <w:b/>
                <w:i/>
                <w:iCs/>
                <w:szCs w:val="28"/>
              </w:rPr>
              <w:t xml:space="preserve">CHEZ MANZONI”: I PROMESSI SPOSI NELL’IMMAGINARIO COLLETTIVO </w:t>
            </w:r>
            <w:r>
              <w:rPr>
                <w:rFonts w:cs="Arial"/>
                <w:i/>
                <w:iCs/>
                <w:szCs w:val="28"/>
              </w:rPr>
              <w:t>(</w:t>
            </w:r>
            <w:r>
              <w:rPr>
                <w:rFonts w:cs="Arial"/>
                <w:bCs/>
                <w:i/>
                <w:iCs/>
                <w:szCs w:val="28"/>
              </w:rPr>
              <w:t>NUOVO)</w:t>
            </w:r>
          </w:p>
        </w:tc>
      </w:tr>
    </w:tbl>
    <w:p w:rsidR="002043C4" w:rsidRDefault="002043C4">
      <w:pPr>
        <w:rPr>
          <w:sz w:val="14"/>
          <w:szCs w:val="14"/>
        </w:rPr>
      </w:pPr>
    </w:p>
    <w:tbl>
      <w:tblPr>
        <w:tblW w:w="9638" w:type="dxa"/>
        <w:tblLayout w:type="fixed"/>
        <w:tblLook w:val="00A0" w:firstRow="1" w:lastRow="0" w:firstColumn="1" w:lastColumn="0" w:noHBand="0" w:noVBand="0"/>
      </w:tblPr>
      <w:tblGrid>
        <w:gridCol w:w="1728"/>
        <w:gridCol w:w="7910"/>
      </w:tblGrid>
      <w:tr w:rsidR="002043C4">
        <w:trPr>
          <w:trHeight w:val="340"/>
        </w:trPr>
        <w:tc>
          <w:tcPr>
            <w:tcW w:w="1728" w:type="dxa"/>
            <w:vAlign w:val="center"/>
          </w:tcPr>
          <w:p w:rsidR="002043C4" w:rsidRDefault="005C10B4">
            <w:pPr>
              <w:spacing w:line="360" w:lineRule="auto"/>
              <w:rPr>
                <w:b/>
                <w:sz w:val="22"/>
                <w:szCs w:val="22"/>
              </w:rPr>
            </w:pPr>
            <w:r>
              <w:rPr>
                <w:b/>
                <w:sz w:val="22"/>
                <w:szCs w:val="22"/>
              </w:rPr>
              <w:t>Docente</w:t>
            </w:r>
          </w:p>
        </w:tc>
        <w:tc>
          <w:tcPr>
            <w:tcW w:w="7909" w:type="dxa"/>
            <w:vAlign w:val="center"/>
          </w:tcPr>
          <w:p w:rsidR="002043C4" w:rsidRDefault="005C10B4">
            <w:pPr>
              <w:jc w:val="both"/>
              <w:rPr>
                <w:rFonts w:cs="Arial"/>
                <w:b/>
                <w:bCs/>
                <w:sz w:val="24"/>
              </w:rPr>
            </w:pPr>
            <w:r>
              <w:rPr>
                <w:rFonts w:cs="Arial"/>
                <w:b/>
                <w:bCs/>
                <w:sz w:val="24"/>
              </w:rPr>
              <w:t>Ettore Colombo</w:t>
            </w:r>
          </w:p>
        </w:tc>
      </w:tr>
      <w:tr w:rsidR="002043C4">
        <w:trPr>
          <w:trHeight w:val="340"/>
        </w:trPr>
        <w:tc>
          <w:tcPr>
            <w:tcW w:w="1728" w:type="dxa"/>
            <w:vAlign w:val="center"/>
          </w:tcPr>
          <w:p w:rsidR="002043C4" w:rsidRDefault="005C10B4">
            <w:pPr>
              <w:spacing w:line="360" w:lineRule="auto"/>
              <w:rPr>
                <w:b/>
                <w:sz w:val="22"/>
                <w:szCs w:val="22"/>
              </w:rPr>
            </w:pPr>
            <w:r>
              <w:rPr>
                <w:b/>
                <w:sz w:val="22"/>
                <w:szCs w:val="22"/>
              </w:rPr>
              <w:t>Giorno</w:t>
            </w:r>
          </w:p>
        </w:tc>
        <w:tc>
          <w:tcPr>
            <w:tcW w:w="7909" w:type="dxa"/>
            <w:vAlign w:val="center"/>
          </w:tcPr>
          <w:p w:rsidR="002043C4" w:rsidRDefault="005C10B4">
            <w:pPr>
              <w:rPr>
                <w:rFonts w:cs="Arial"/>
                <w:sz w:val="24"/>
              </w:rPr>
            </w:pPr>
            <w:r>
              <w:rPr>
                <w:rFonts w:cs="Arial"/>
                <w:sz w:val="24"/>
              </w:rPr>
              <w:t>Mercoledì</w:t>
            </w:r>
          </w:p>
        </w:tc>
      </w:tr>
      <w:tr w:rsidR="002043C4">
        <w:trPr>
          <w:trHeight w:val="340"/>
        </w:trPr>
        <w:tc>
          <w:tcPr>
            <w:tcW w:w="1728" w:type="dxa"/>
            <w:vAlign w:val="center"/>
          </w:tcPr>
          <w:p w:rsidR="002043C4" w:rsidRDefault="005C10B4">
            <w:pPr>
              <w:spacing w:line="360" w:lineRule="auto"/>
              <w:rPr>
                <w:b/>
                <w:sz w:val="22"/>
                <w:szCs w:val="22"/>
              </w:rPr>
            </w:pPr>
            <w:r>
              <w:rPr>
                <w:b/>
                <w:sz w:val="22"/>
                <w:szCs w:val="22"/>
              </w:rPr>
              <w:t>Orario</w:t>
            </w:r>
          </w:p>
        </w:tc>
        <w:tc>
          <w:tcPr>
            <w:tcW w:w="7909" w:type="dxa"/>
            <w:vAlign w:val="center"/>
          </w:tcPr>
          <w:p w:rsidR="002043C4" w:rsidRDefault="005C10B4">
            <w:pPr>
              <w:rPr>
                <w:sz w:val="24"/>
              </w:rPr>
            </w:pPr>
            <w:r>
              <w:rPr>
                <w:sz w:val="24"/>
              </w:rPr>
              <w:t>15.00-17.15</w:t>
            </w:r>
          </w:p>
        </w:tc>
      </w:tr>
      <w:tr w:rsidR="002043C4">
        <w:trPr>
          <w:trHeight w:val="340"/>
        </w:trPr>
        <w:tc>
          <w:tcPr>
            <w:tcW w:w="1728" w:type="dxa"/>
            <w:vAlign w:val="center"/>
          </w:tcPr>
          <w:p w:rsidR="002043C4" w:rsidRDefault="005C10B4">
            <w:pPr>
              <w:spacing w:line="360" w:lineRule="auto"/>
              <w:rPr>
                <w:b/>
                <w:sz w:val="22"/>
                <w:szCs w:val="22"/>
              </w:rPr>
            </w:pPr>
            <w:r>
              <w:rPr>
                <w:b/>
                <w:sz w:val="22"/>
                <w:szCs w:val="22"/>
              </w:rPr>
              <w:t>Periodo</w:t>
            </w:r>
          </w:p>
        </w:tc>
        <w:tc>
          <w:tcPr>
            <w:tcW w:w="7909" w:type="dxa"/>
            <w:vAlign w:val="center"/>
          </w:tcPr>
          <w:p w:rsidR="002043C4" w:rsidRDefault="005C10B4">
            <w:pPr>
              <w:rPr>
                <w:sz w:val="24"/>
              </w:rPr>
            </w:pPr>
            <w:r>
              <w:rPr>
                <w:sz w:val="24"/>
              </w:rPr>
              <w:t xml:space="preserve">Dal </w:t>
            </w:r>
            <w:r>
              <w:rPr>
                <w:rFonts w:cs="Arial"/>
                <w:sz w:val="24"/>
              </w:rPr>
              <w:t>14 febbraio al 6 marzo 2024 (4 incontri - € 16,00)</w:t>
            </w:r>
          </w:p>
        </w:tc>
      </w:tr>
      <w:tr w:rsidR="002043C4">
        <w:trPr>
          <w:trHeight w:val="340"/>
        </w:trPr>
        <w:tc>
          <w:tcPr>
            <w:tcW w:w="1728" w:type="dxa"/>
            <w:vAlign w:val="center"/>
          </w:tcPr>
          <w:p w:rsidR="002043C4" w:rsidRDefault="005C10B4">
            <w:pPr>
              <w:spacing w:line="360" w:lineRule="auto"/>
              <w:rPr>
                <w:b/>
                <w:sz w:val="22"/>
                <w:szCs w:val="22"/>
              </w:rPr>
            </w:pPr>
            <w:r>
              <w:rPr>
                <w:b/>
                <w:sz w:val="22"/>
                <w:szCs w:val="22"/>
              </w:rPr>
              <w:t>Sede</w:t>
            </w:r>
          </w:p>
        </w:tc>
        <w:tc>
          <w:tcPr>
            <w:tcW w:w="7909" w:type="dxa"/>
            <w:vAlign w:val="center"/>
          </w:tcPr>
          <w:p w:rsidR="002043C4" w:rsidRDefault="005C10B4">
            <w:pPr>
              <w:jc w:val="both"/>
              <w:rPr>
                <w:sz w:val="24"/>
              </w:rPr>
            </w:pPr>
            <w:r>
              <w:rPr>
                <w:rFonts w:cs="Arial"/>
                <w:sz w:val="24"/>
              </w:rPr>
              <w:t>Mutuo Soccorso</w:t>
            </w:r>
          </w:p>
        </w:tc>
      </w:tr>
      <w:tr w:rsidR="002043C4">
        <w:trPr>
          <w:trHeight w:val="312"/>
        </w:trPr>
        <w:tc>
          <w:tcPr>
            <w:tcW w:w="1728" w:type="dxa"/>
            <w:vAlign w:val="center"/>
          </w:tcPr>
          <w:p w:rsidR="002043C4" w:rsidRDefault="005C10B4">
            <w:pPr>
              <w:spacing w:line="360" w:lineRule="auto"/>
              <w:rPr>
                <w:b/>
                <w:sz w:val="22"/>
                <w:szCs w:val="22"/>
              </w:rPr>
            </w:pPr>
            <w:r>
              <w:rPr>
                <w:b/>
                <w:sz w:val="22"/>
                <w:szCs w:val="22"/>
              </w:rPr>
              <w:t>Argomento</w:t>
            </w:r>
          </w:p>
        </w:tc>
        <w:tc>
          <w:tcPr>
            <w:tcW w:w="7909" w:type="dxa"/>
            <w:vAlign w:val="center"/>
          </w:tcPr>
          <w:p w:rsidR="002043C4" w:rsidRDefault="005C10B4">
            <w:pPr>
              <w:rPr>
                <w:rFonts w:cs="Arial"/>
                <w:sz w:val="24"/>
              </w:rPr>
            </w:pPr>
            <w:r>
              <w:rPr>
                <w:rFonts w:cs="Arial"/>
                <w:b/>
                <w:bCs/>
                <w:sz w:val="24"/>
              </w:rPr>
              <w:t xml:space="preserve">LETTERATURA E ARTI </w:t>
            </w:r>
            <w:r>
              <w:rPr>
                <w:rFonts w:cs="Arial"/>
                <w:b/>
                <w:bCs/>
                <w:sz w:val="24"/>
              </w:rPr>
              <w:t>VISIVE</w:t>
            </w:r>
            <w:r>
              <w:rPr>
                <w:rFonts w:cs="Arial"/>
                <w:sz w:val="24"/>
              </w:rPr>
              <w:t xml:space="preserve"> (</w:t>
            </w:r>
            <w:r>
              <w:rPr>
                <w:rFonts w:cs="Arial"/>
                <w:bCs/>
                <w:sz w:val="24"/>
              </w:rPr>
              <w:t xml:space="preserve">max </w:t>
            </w:r>
            <w:r>
              <w:rPr>
                <w:rFonts w:cs="Arial"/>
                <w:sz w:val="24"/>
              </w:rPr>
              <w:t>60)</w:t>
            </w:r>
          </w:p>
        </w:tc>
      </w:tr>
      <w:tr w:rsidR="002043C4">
        <w:trPr>
          <w:trHeight w:val="1192"/>
        </w:trPr>
        <w:tc>
          <w:tcPr>
            <w:tcW w:w="1728" w:type="dxa"/>
            <w:vAlign w:val="center"/>
          </w:tcPr>
          <w:p w:rsidR="002043C4" w:rsidRDefault="005C10B4">
            <w:pPr>
              <w:rPr>
                <w:b/>
                <w:sz w:val="22"/>
                <w:szCs w:val="22"/>
              </w:rPr>
            </w:pPr>
            <w:r>
              <w:rPr>
                <w:b/>
                <w:sz w:val="22"/>
                <w:szCs w:val="22"/>
              </w:rPr>
              <w:t>Presentazione</w:t>
            </w:r>
          </w:p>
        </w:tc>
        <w:tc>
          <w:tcPr>
            <w:tcW w:w="7909" w:type="dxa"/>
            <w:vAlign w:val="center"/>
          </w:tcPr>
          <w:p w:rsidR="002043C4" w:rsidRDefault="005C10B4">
            <w:pPr>
              <w:jc w:val="both"/>
              <w:rPr>
                <w:rFonts w:cs="Arial"/>
                <w:bCs/>
                <w:i/>
                <w:iCs/>
                <w:sz w:val="24"/>
              </w:rPr>
            </w:pPr>
            <w:r>
              <w:rPr>
                <w:rFonts w:cs="Arial"/>
                <w:bCs/>
                <w:i/>
                <w:iCs/>
                <w:sz w:val="24"/>
              </w:rPr>
              <w:t xml:space="preserve">Alessandro Manzoni e il suo romanzo come artefici di un modo di raccontare gli italiani, i loro vizi e le </w:t>
            </w:r>
            <w:proofErr w:type="spellStart"/>
            <w:r>
              <w:rPr>
                <w:rFonts w:cs="Arial"/>
                <w:bCs/>
                <w:i/>
                <w:iCs/>
                <w:sz w:val="24"/>
              </w:rPr>
              <w:t>virtu</w:t>
            </w:r>
            <w:proofErr w:type="spellEnd"/>
            <w:r>
              <w:rPr>
                <w:rFonts w:cs="Arial"/>
                <w:bCs/>
                <w:i/>
                <w:iCs/>
                <w:sz w:val="24"/>
              </w:rPr>
              <w:t xml:space="preserve">̀, una visione del mondo assai </w:t>
            </w:r>
            <w:proofErr w:type="spellStart"/>
            <w:r>
              <w:rPr>
                <w:rFonts w:cs="Arial"/>
                <w:bCs/>
                <w:i/>
                <w:iCs/>
                <w:sz w:val="24"/>
              </w:rPr>
              <w:t>piu</w:t>
            </w:r>
            <w:proofErr w:type="spellEnd"/>
            <w:r>
              <w:rPr>
                <w:rFonts w:cs="Arial"/>
                <w:bCs/>
                <w:i/>
                <w:iCs/>
                <w:sz w:val="24"/>
              </w:rPr>
              <w:t xml:space="preserve">̀ complessa e articolata di quanto tramandato dalle lezioni </w:t>
            </w:r>
            <w:r>
              <w:rPr>
                <w:rFonts w:cs="Arial"/>
                <w:bCs/>
                <w:i/>
                <w:iCs/>
                <w:sz w:val="24"/>
              </w:rPr>
              <w:t>scolastiche. Un percorso nell’immaginario collettivo italiano, dalle celebri incisioni di Gonin alla fruizione popolare grazie al cinema e alla televisione, dall’influenza decisiva sulla lingua italiana ai modi di dire entrati nell’uso comune, dalla ricostruzione accurata secondo criteri scientifici propri della storiografia alla polemica politica risorgimentale. Un incontro ravvicinato, quindi, “</w:t>
            </w:r>
            <w:proofErr w:type="spellStart"/>
            <w:r>
              <w:rPr>
                <w:rFonts w:cs="Arial"/>
                <w:bCs/>
                <w:i/>
                <w:iCs/>
                <w:sz w:val="24"/>
              </w:rPr>
              <w:t>Chez</w:t>
            </w:r>
            <w:proofErr w:type="spellEnd"/>
            <w:r>
              <w:rPr>
                <w:rFonts w:cs="Arial"/>
                <w:bCs/>
                <w:i/>
                <w:iCs/>
                <w:sz w:val="24"/>
              </w:rPr>
              <w:t xml:space="preserve"> Manzoni” cioè̀ “Da Manzoni”, faccia a faccia, per scoprirlo nella sua vera dimensione.</w:t>
            </w:r>
          </w:p>
        </w:tc>
      </w:tr>
      <w:tr w:rsidR="002043C4">
        <w:trPr>
          <w:trHeight w:val="340"/>
        </w:trPr>
        <w:tc>
          <w:tcPr>
            <w:tcW w:w="1728" w:type="dxa"/>
          </w:tcPr>
          <w:p w:rsidR="002043C4" w:rsidRDefault="005C10B4">
            <w:pPr>
              <w:rPr>
                <w:b/>
                <w:sz w:val="22"/>
                <w:szCs w:val="22"/>
              </w:rPr>
            </w:pPr>
            <w:r>
              <w:rPr>
                <w:b/>
                <w:sz w:val="22"/>
                <w:szCs w:val="22"/>
              </w:rPr>
              <w:t>Tutor</w:t>
            </w:r>
          </w:p>
        </w:tc>
        <w:tc>
          <w:tcPr>
            <w:tcW w:w="7909" w:type="dxa"/>
          </w:tcPr>
          <w:p w:rsidR="002043C4" w:rsidRDefault="002043C4">
            <w:pPr>
              <w:pStyle w:val="TESTONORMALE"/>
              <w:spacing w:before="0" w:line="240" w:lineRule="auto"/>
              <w:rPr>
                <w:rFonts w:ascii="Arial" w:hAnsi="Arial" w:cs="Arial"/>
                <w:sz w:val="22"/>
              </w:rPr>
            </w:pPr>
          </w:p>
        </w:tc>
      </w:tr>
    </w:tbl>
    <w:p w:rsidR="002043C4" w:rsidRDefault="005C10B4">
      <w:pPr>
        <w:rPr>
          <w:b/>
          <w:sz w:val="24"/>
        </w:rPr>
      </w:pPr>
      <w:r>
        <w:rPr>
          <w:b/>
          <w:sz w:val="24"/>
        </w:rPr>
        <w:t xml:space="preserve">Calendario  </w:t>
      </w:r>
    </w:p>
    <w:p w:rsidR="002043C4" w:rsidRDefault="002043C4">
      <w:pPr>
        <w:rPr>
          <w:b/>
          <w:sz w:val="24"/>
        </w:rPr>
      </w:pPr>
    </w:p>
    <w:tbl>
      <w:tblPr>
        <w:tblpPr w:leftFromText="141" w:rightFromText="141" w:vertAnchor="text" w:horzAnchor="margin" w:tblpY="170"/>
        <w:tblW w:w="9511" w:type="dxa"/>
        <w:tblLayout w:type="fixed"/>
        <w:tblCellMar>
          <w:left w:w="70" w:type="dxa"/>
          <w:right w:w="70" w:type="dxa"/>
        </w:tblCellMar>
        <w:tblLook w:val="0000" w:firstRow="0" w:lastRow="0" w:firstColumn="0" w:lastColumn="0" w:noHBand="0" w:noVBand="0"/>
      </w:tblPr>
      <w:tblGrid>
        <w:gridCol w:w="385"/>
        <w:gridCol w:w="1637"/>
        <w:gridCol w:w="7489"/>
      </w:tblGrid>
      <w:tr w:rsidR="002043C4">
        <w:trPr>
          <w:trHeight w:val="564"/>
        </w:trPr>
        <w:tc>
          <w:tcPr>
            <w:tcW w:w="385" w:type="dxa"/>
            <w:vAlign w:val="center"/>
          </w:tcPr>
          <w:p w:rsidR="002043C4" w:rsidRDefault="005C10B4">
            <w:pPr>
              <w:jc w:val="center"/>
              <w:rPr>
                <w:rFonts w:cs="Arial"/>
                <w:b/>
                <w:bCs/>
                <w:sz w:val="22"/>
                <w:szCs w:val="22"/>
              </w:rPr>
            </w:pPr>
            <w:r>
              <w:rPr>
                <w:rFonts w:cs="Arial"/>
                <w:b/>
                <w:bCs/>
                <w:sz w:val="22"/>
                <w:szCs w:val="22"/>
              </w:rPr>
              <w:t>1</w:t>
            </w:r>
          </w:p>
        </w:tc>
        <w:tc>
          <w:tcPr>
            <w:tcW w:w="1637" w:type="dxa"/>
            <w:vAlign w:val="center"/>
          </w:tcPr>
          <w:p w:rsidR="002043C4" w:rsidRDefault="005C10B4">
            <w:pPr>
              <w:ind w:left="57"/>
              <w:jc w:val="center"/>
              <w:rPr>
                <w:sz w:val="22"/>
                <w:szCs w:val="22"/>
              </w:rPr>
            </w:pPr>
            <w:r>
              <w:rPr>
                <w:sz w:val="22"/>
                <w:szCs w:val="22"/>
              </w:rPr>
              <w:t>14.02.2024</w:t>
            </w:r>
          </w:p>
        </w:tc>
        <w:tc>
          <w:tcPr>
            <w:tcW w:w="7489" w:type="dxa"/>
            <w:vAlign w:val="center"/>
          </w:tcPr>
          <w:p w:rsidR="002043C4" w:rsidRDefault="005C10B4">
            <w:pPr>
              <w:pStyle w:val="Contenutotabella"/>
              <w:rPr>
                <w:sz w:val="24"/>
                <w:szCs w:val="22"/>
              </w:rPr>
            </w:pPr>
            <w:r w:rsidRPr="005C10B4">
              <w:rPr>
                <w:sz w:val="24"/>
                <w:szCs w:val="22"/>
              </w:rPr>
              <w:t xml:space="preserve">Il romanzo manzoniano come vero e proprio monumento letterario radicato nell’immaginario collettivo italiano. Come è stata costruito e come si è standardizzato a canone e modello attraverso le immagini dal XIX al XX secolo, </w:t>
            </w:r>
            <w:r w:rsidRPr="005C10B4">
              <w:rPr>
                <w:sz w:val="24"/>
                <w:szCs w:val="22"/>
              </w:rPr>
              <w:t>partendo dalle incisioni di Gonin</w:t>
            </w:r>
          </w:p>
          <w:p w:rsidR="005C10B4" w:rsidRPr="005C10B4" w:rsidRDefault="005C10B4">
            <w:pPr>
              <w:pStyle w:val="Contenutotabella"/>
              <w:rPr>
                <w:sz w:val="10"/>
                <w:szCs w:val="8"/>
              </w:rPr>
            </w:pPr>
          </w:p>
        </w:tc>
      </w:tr>
      <w:tr w:rsidR="002043C4">
        <w:trPr>
          <w:trHeight w:val="567"/>
        </w:trPr>
        <w:tc>
          <w:tcPr>
            <w:tcW w:w="385" w:type="dxa"/>
            <w:vAlign w:val="center"/>
          </w:tcPr>
          <w:p w:rsidR="002043C4" w:rsidRDefault="005C10B4">
            <w:pPr>
              <w:jc w:val="center"/>
              <w:rPr>
                <w:rFonts w:cs="Arial"/>
                <w:b/>
                <w:bCs/>
                <w:sz w:val="22"/>
                <w:szCs w:val="22"/>
              </w:rPr>
            </w:pPr>
            <w:r>
              <w:rPr>
                <w:rFonts w:cs="Arial"/>
                <w:b/>
                <w:bCs/>
                <w:sz w:val="22"/>
                <w:szCs w:val="22"/>
              </w:rPr>
              <w:t>2</w:t>
            </w:r>
          </w:p>
        </w:tc>
        <w:tc>
          <w:tcPr>
            <w:tcW w:w="1637" w:type="dxa"/>
            <w:vAlign w:val="center"/>
          </w:tcPr>
          <w:p w:rsidR="002043C4" w:rsidRDefault="005C10B4">
            <w:pPr>
              <w:ind w:left="57"/>
              <w:jc w:val="center"/>
              <w:rPr>
                <w:sz w:val="22"/>
                <w:szCs w:val="22"/>
              </w:rPr>
            </w:pPr>
            <w:r>
              <w:rPr>
                <w:sz w:val="22"/>
                <w:szCs w:val="22"/>
              </w:rPr>
              <w:t>21.02.2024</w:t>
            </w:r>
          </w:p>
        </w:tc>
        <w:tc>
          <w:tcPr>
            <w:tcW w:w="7489" w:type="dxa"/>
            <w:vAlign w:val="center"/>
          </w:tcPr>
          <w:p w:rsidR="002043C4" w:rsidRDefault="005C10B4">
            <w:pPr>
              <w:pStyle w:val="Contenutotabella"/>
              <w:rPr>
                <w:sz w:val="24"/>
                <w:szCs w:val="22"/>
              </w:rPr>
            </w:pPr>
            <w:r w:rsidRPr="005C10B4">
              <w:rPr>
                <w:sz w:val="24"/>
                <w:szCs w:val="22"/>
              </w:rPr>
              <w:t>Manzoni storico: la digressione sulla peste del 1630. Manzoni come icona (moderata) nel processo storico della costruzione della identità nazionale italiana. La prosa di Manzoni come modello per l’italiano “letterario”</w:t>
            </w:r>
          </w:p>
          <w:p w:rsidR="005C10B4" w:rsidRPr="005C10B4" w:rsidRDefault="005C10B4">
            <w:pPr>
              <w:pStyle w:val="Contenutotabella"/>
              <w:rPr>
                <w:sz w:val="14"/>
                <w:szCs w:val="12"/>
              </w:rPr>
            </w:pPr>
          </w:p>
        </w:tc>
      </w:tr>
      <w:tr w:rsidR="002043C4">
        <w:trPr>
          <w:trHeight w:val="567"/>
        </w:trPr>
        <w:tc>
          <w:tcPr>
            <w:tcW w:w="385" w:type="dxa"/>
            <w:vAlign w:val="center"/>
          </w:tcPr>
          <w:p w:rsidR="002043C4" w:rsidRDefault="005C10B4">
            <w:pPr>
              <w:jc w:val="center"/>
              <w:rPr>
                <w:rFonts w:cs="Arial"/>
                <w:b/>
                <w:bCs/>
                <w:sz w:val="22"/>
                <w:szCs w:val="22"/>
              </w:rPr>
            </w:pPr>
            <w:r>
              <w:rPr>
                <w:rFonts w:cs="Arial"/>
                <w:b/>
                <w:bCs/>
                <w:sz w:val="22"/>
                <w:szCs w:val="22"/>
              </w:rPr>
              <w:t>3</w:t>
            </w:r>
          </w:p>
        </w:tc>
        <w:tc>
          <w:tcPr>
            <w:tcW w:w="1637" w:type="dxa"/>
            <w:vAlign w:val="center"/>
          </w:tcPr>
          <w:p w:rsidR="002043C4" w:rsidRDefault="005C10B4">
            <w:pPr>
              <w:ind w:left="57"/>
              <w:jc w:val="center"/>
              <w:rPr>
                <w:sz w:val="22"/>
                <w:szCs w:val="22"/>
              </w:rPr>
            </w:pPr>
            <w:r>
              <w:rPr>
                <w:sz w:val="22"/>
                <w:szCs w:val="22"/>
              </w:rPr>
              <w:t>28.02.2024</w:t>
            </w:r>
          </w:p>
        </w:tc>
        <w:tc>
          <w:tcPr>
            <w:tcW w:w="7489" w:type="dxa"/>
            <w:vAlign w:val="center"/>
          </w:tcPr>
          <w:p w:rsidR="002043C4" w:rsidRDefault="005C10B4">
            <w:pPr>
              <w:pStyle w:val="Contenutotabella"/>
              <w:rPr>
                <w:sz w:val="24"/>
                <w:szCs w:val="22"/>
              </w:rPr>
            </w:pPr>
            <w:r w:rsidRPr="005C10B4">
              <w:rPr>
                <w:sz w:val="24"/>
                <w:szCs w:val="22"/>
              </w:rPr>
              <w:t>Le possibili chiavi di lettura del romanzo, così come si sono configurate nei contesti storici di riferimento. Il genere del “</w:t>
            </w:r>
            <w:proofErr w:type="spellStart"/>
            <w:r w:rsidRPr="005C10B4">
              <w:rPr>
                <w:i/>
                <w:iCs/>
                <w:sz w:val="24"/>
                <w:szCs w:val="22"/>
              </w:rPr>
              <w:t>Bildungsroman</w:t>
            </w:r>
            <w:proofErr w:type="spellEnd"/>
            <w:r w:rsidRPr="005C10B4">
              <w:rPr>
                <w:sz w:val="24"/>
                <w:szCs w:val="22"/>
              </w:rPr>
              <w:t>” [Romanzo di formazione] nel percorso di Renzo</w:t>
            </w:r>
          </w:p>
          <w:p w:rsidR="005C10B4" w:rsidRPr="005C10B4" w:rsidRDefault="005C10B4">
            <w:pPr>
              <w:pStyle w:val="Contenutotabella"/>
              <w:rPr>
                <w:sz w:val="14"/>
                <w:szCs w:val="12"/>
              </w:rPr>
            </w:pPr>
          </w:p>
        </w:tc>
      </w:tr>
      <w:tr w:rsidR="002043C4">
        <w:trPr>
          <w:trHeight w:val="567"/>
        </w:trPr>
        <w:tc>
          <w:tcPr>
            <w:tcW w:w="385" w:type="dxa"/>
            <w:vAlign w:val="center"/>
          </w:tcPr>
          <w:p w:rsidR="002043C4" w:rsidRDefault="005C10B4">
            <w:pPr>
              <w:jc w:val="center"/>
              <w:rPr>
                <w:rFonts w:cs="Arial"/>
                <w:b/>
                <w:bCs/>
                <w:sz w:val="22"/>
                <w:szCs w:val="22"/>
              </w:rPr>
            </w:pPr>
            <w:r>
              <w:rPr>
                <w:rFonts w:cs="Arial"/>
                <w:b/>
                <w:bCs/>
                <w:sz w:val="22"/>
                <w:szCs w:val="22"/>
              </w:rPr>
              <w:t>4</w:t>
            </w:r>
          </w:p>
        </w:tc>
        <w:tc>
          <w:tcPr>
            <w:tcW w:w="1637" w:type="dxa"/>
            <w:vAlign w:val="center"/>
          </w:tcPr>
          <w:p w:rsidR="002043C4" w:rsidRDefault="005C10B4">
            <w:pPr>
              <w:jc w:val="center"/>
              <w:rPr>
                <w:sz w:val="22"/>
                <w:szCs w:val="22"/>
              </w:rPr>
            </w:pPr>
            <w:r>
              <w:rPr>
                <w:sz w:val="22"/>
                <w:szCs w:val="22"/>
              </w:rPr>
              <w:t>06.03.2024</w:t>
            </w:r>
          </w:p>
        </w:tc>
        <w:tc>
          <w:tcPr>
            <w:tcW w:w="7489" w:type="dxa"/>
            <w:vAlign w:val="center"/>
          </w:tcPr>
          <w:p w:rsidR="002043C4" w:rsidRPr="005C10B4" w:rsidRDefault="005C10B4">
            <w:pPr>
              <w:pStyle w:val="Contenutotabella"/>
              <w:rPr>
                <w:sz w:val="24"/>
                <w:szCs w:val="22"/>
              </w:rPr>
            </w:pPr>
            <w:r w:rsidRPr="005C10B4">
              <w:rPr>
                <w:sz w:val="24"/>
                <w:szCs w:val="22"/>
              </w:rPr>
              <w:t xml:space="preserve">I Promessi sposi nella </w:t>
            </w:r>
            <w:r w:rsidRPr="005C10B4">
              <w:rPr>
                <w:sz w:val="24"/>
                <w:szCs w:val="22"/>
              </w:rPr>
              <w:t>comunicazione e nella cultura di massa: le versioni cinematografiche e televisive, le citazioni, le letture, i “luoghi manzoniani”, ma anche le contaminazioni con la pubblicità, a partire da Carosello</w:t>
            </w:r>
          </w:p>
        </w:tc>
      </w:tr>
    </w:tbl>
    <w:p w:rsidR="002043C4" w:rsidRDefault="002043C4">
      <w:pPr>
        <w:rPr>
          <w:rFonts w:ascii="Times New Roman" w:hAnsi="Times New Roman"/>
        </w:rPr>
      </w:pPr>
    </w:p>
    <w:sectPr w:rsidR="002043C4">
      <w:pgSz w:w="11906" w:h="16838"/>
      <w:pgMar w:top="567" w:right="1134" w:bottom="851" w:left="1134"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ource Han Sans C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elite">
    <w:charset w:val="01"/>
    <w:family w:val="roman"/>
    <w:pitch w:val="variable"/>
  </w:font>
  <w:font w:name="Helvetica">
    <w:panose1 w:val="020B0504020202020204"/>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C4"/>
    <w:rsid w:val="002043C4"/>
    <w:rsid w:val="005C10B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D98F"/>
  <w15:docId w15:val="{BF7C497F-E1E7-4F07-A86A-8D04DC80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CE0E41"/>
    <w:rPr>
      <w:rFonts w:ascii="Arial" w:eastAsia="Times New Roman" w:hAnsi="Arial" w:cs="Times New Roman"/>
      <w:sz w:val="28"/>
      <w:szCs w:val="24"/>
      <w:lang w:eastAsia="it-IT"/>
    </w:rPr>
  </w:style>
  <w:style w:type="paragraph" w:styleId="Titolo">
    <w:name w:val="Title"/>
    <w:basedOn w:val="Normale"/>
    <w:next w:val="Corpotesto"/>
    <w:qFormat/>
    <w:pPr>
      <w:keepNext/>
      <w:spacing w:before="240" w:after="120"/>
    </w:pPr>
    <w:rPr>
      <w:rFonts w:ascii="Liberation Sans" w:eastAsia="Source Han Sans CN" w:hAnsi="Liberation Sans" w:cs="Mangal"/>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rPr>
  </w:style>
  <w:style w:type="paragraph" w:customStyle="1" w:styleId="Indice">
    <w:name w:val="Indice"/>
    <w:basedOn w:val="Normale"/>
    <w:qFormat/>
    <w:pPr>
      <w:suppressLineNumbers/>
    </w:pPr>
    <w:rPr>
      <w:rFonts w:cs="Mangal"/>
    </w:rPr>
  </w:style>
  <w:style w:type="paragraph" w:customStyle="1" w:styleId="TESTONORMALE">
    <w:name w:val="TESTO NORMALE"/>
    <w:qFormat/>
    <w:rsid w:val="00CE0E41"/>
    <w:pPr>
      <w:spacing w:before="240" w:line="360" w:lineRule="atLeast"/>
      <w:jc w:val="both"/>
    </w:pPr>
    <w:rPr>
      <w:rFonts w:ascii="elite" w:eastAsia="Times New Roman" w:hAnsi="elite" w:cs="Times New Roman"/>
      <w:sz w:val="20"/>
      <w:szCs w:val="20"/>
      <w:lang w:eastAsia="it-IT"/>
    </w:rPr>
  </w:style>
  <w:style w:type="paragraph" w:customStyle="1" w:styleId="Corpo">
    <w:name w:val="Corpo"/>
    <w:qFormat/>
    <w:rsid w:val="00CE0E41"/>
    <w:rPr>
      <w:rFonts w:ascii="Helvetica" w:eastAsia="Arial Unicode MS" w:hAnsi="Helvetica" w:cs="Arial Unicode MS"/>
      <w:color w:val="000000"/>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CE0E41"/>
    <w:pPr>
      <w:tabs>
        <w:tab w:val="center" w:pos="4819"/>
        <w:tab w:val="right" w:pos="9638"/>
      </w:tabs>
    </w:pPr>
  </w:style>
  <w:style w:type="paragraph" w:customStyle="1" w:styleId="Contenutocornice">
    <w:name w:val="Contenuto cornice"/>
    <w:basedOn w:val="Normale"/>
    <w:qFormat/>
  </w:style>
  <w:style w:type="paragraph" w:customStyle="1" w:styleId="Contenutotabella">
    <w:name w:val="Contenuto tabella"/>
    <w:basedOn w:val="Normale"/>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dc:description/>
  <cp:lastModifiedBy>Terzi Angiola</cp:lastModifiedBy>
  <cp:revision>2</cp:revision>
  <dcterms:created xsi:type="dcterms:W3CDTF">2023-09-13T06:55:00Z</dcterms:created>
  <dcterms:modified xsi:type="dcterms:W3CDTF">2023-09-13T06:55:00Z</dcterms:modified>
  <dc:language>it-IT</dc:language>
</cp:coreProperties>
</file>