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972" w14:textId="08692264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8011A">
        <w:rPr>
          <w:b/>
          <w:bCs/>
          <w:sz w:val="44"/>
        </w:rPr>
        <w:t>3</w:t>
      </w:r>
      <w:r>
        <w:rPr>
          <w:b/>
          <w:bCs/>
          <w:sz w:val="44"/>
        </w:rPr>
        <w:t>/2</w:t>
      </w:r>
      <w:r w:rsidR="00C8011A">
        <w:rPr>
          <w:b/>
          <w:bCs/>
          <w:sz w:val="44"/>
        </w:rPr>
        <w:t>4</w:t>
      </w:r>
    </w:p>
    <w:p w14:paraId="740E9E12" w14:textId="3DA36438" w:rsidR="00CE0E41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05E4D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EF0930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14CFCAF8" w14:textId="77777777" w:rsidR="007E0BA3" w:rsidRPr="00437D8A" w:rsidRDefault="007E0BA3" w:rsidP="00CE0E41">
      <w:pPr>
        <w:pStyle w:val="Intestazione"/>
        <w:rPr>
          <w:b/>
          <w:bCs/>
          <w:color w:val="00B050"/>
          <w:sz w:val="24"/>
        </w:rPr>
      </w:pPr>
    </w:p>
    <w:p w14:paraId="13E62715" w14:textId="77777777" w:rsidR="007E0BA3" w:rsidRPr="007E0BA3" w:rsidRDefault="007E0BA3" w:rsidP="007E0BA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36608495"/>
      <w:r w:rsidRPr="007E0BA3">
        <w:rPr>
          <w:rFonts w:ascii="Arial" w:hAnsi="Arial" w:cs="Arial"/>
          <w:b/>
          <w:bCs/>
          <w:sz w:val="28"/>
          <w:szCs w:val="28"/>
        </w:rPr>
        <w:t>MOZZO</w:t>
      </w:r>
    </w:p>
    <w:p w14:paraId="44D171E5" w14:textId="05FEC2A6" w:rsidR="00CE0E41" w:rsidRDefault="007E0BA3" w:rsidP="007E0BA3">
      <w:pPr>
        <w:pStyle w:val="Standard"/>
        <w:jc w:val="both"/>
        <w:rPr>
          <w:rFonts w:ascii="Arial" w:hAnsi="Arial" w:cs="Arial"/>
          <w:sz w:val="20"/>
          <w:szCs w:val="20"/>
        </w:rPr>
      </w:pPr>
      <w:bookmarkStart w:id="1" w:name="Bookmark6"/>
      <w:r w:rsidRPr="007E0BA3">
        <w:rPr>
          <w:rFonts w:ascii="Arial" w:hAnsi="Arial" w:cs="Arial"/>
          <w:b/>
          <w:bCs/>
          <w:sz w:val="20"/>
          <w:szCs w:val="20"/>
        </w:rPr>
        <w:t>Referenti</w:t>
      </w:r>
      <w:r w:rsidRPr="007E0BA3">
        <w:rPr>
          <w:rFonts w:ascii="Arial" w:hAnsi="Arial" w:cs="Arial"/>
          <w:bCs/>
          <w:sz w:val="20"/>
          <w:szCs w:val="20"/>
        </w:rPr>
        <w:t>:</w:t>
      </w:r>
      <w:r w:rsidRPr="007E0BA3">
        <w:rPr>
          <w:rFonts w:ascii="Arial" w:hAnsi="Arial" w:cs="Arial"/>
          <w:sz w:val="20"/>
          <w:szCs w:val="20"/>
        </w:rPr>
        <w:t xml:space="preserve"> Alessandra Mastrangelo, Maurizio </w:t>
      </w:r>
      <w:proofErr w:type="spellStart"/>
      <w:r w:rsidRPr="007E0BA3">
        <w:rPr>
          <w:rFonts w:ascii="Arial" w:hAnsi="Arial" w:cs="Arial"/>
          <w:sz w:val="20"/>
          <w:szCs w:val="20"/>
        </w:rPr>
        <w:t>Briccoli</w:t>
      </w:r>
      <w:proofErr w:type="spellEnd"/>
      <w:r w:rsidRPr="007E0BA3">
        <w:rPr>
          <w:rFonts w:ascii="Arial" w:hAnsi="Arial" w:cs="Arial"/>
          <w:sz w:val="20"/>
          <w:szCs w:val="20"/>
        </w:rPr>
        <w:t xml:space="preserve"> e Luigi Riva </w:t>
      </w:r>
      <w:r w:rsidRPr="007E0BA3">
        <w:rPr>
          <w:sz w:val="28"/>
          <w:szCs w:val="28"/>
        </w:rPr>
        <w:t xml:space="preserve">- </w:t>
      </w:r>
      <w:r w:rsidRPr="007E0BA3">
        <w:rPr>
          <w:rFonts w:ascii="Arial" w:hAnsi="Arial" w:cs="Arial"/>
          <w:b/>
          <w:bCs/>
          <w:sz w:val="20"/>
          <w:szCs w:val="20"/>
        </w:rPr>
        <w:t>Informazioni</w:t>
      </w:r>
      <w:r w:rsidRPr="007E0BA3">
        <w:rPr>
          <w:rFonts w:ascii="Arial" w:hAnsi="Arial" w:cs="Arial"/>
          <w:bCs/>
          <w:sz w:val="20"/>
          <w:szCs w:val="20"/>
        </w:rPr>
        <w:t>:</w:t>
      </w:r>
      <w:r w:rsidRPr="007E0BA3">
        <w:rPr>
          <w:rFonts w:ascii="Arial" w:hAnsi="Arial" w:cs="Arial"/>
          <w:sz w:val="20"/>
          <w:szCs w:val="20"/>
        </w:rPr>
        <w:t xml:space="preserve"> da settembre in Biblioteca, tel. 035.4556701, </w:t>
      </w:r>
      <w:hyperlink r:id="rId5" w:history="1">
        <w:r w:rsidRPr="007E0BA3">
          <w:rPr>
            <w:rFonts w:ascii="Arial" w:hAnsi="Arial" w:cs="Arial"/>
            <w:sz w:val="20"/>
            <w:szCs w:val="20"/>
          </w:rPr>
          <w:t>biblioteca@comune.mozzo.bg.</w:t>
        </w:r>
      </w:hyperlink>
      <w:bookmarkStart w:id="2" w:name="Bookmark51"/>
      <w:bookmarkStart w:id="3" w:name="_Hlt133962508"/>
      <w:r w:rsidRPr="007E0BA3">
        <w:rPr>
          <w:sz w:val="28"/>
          <w:szCs w:val="28"/>
        </w:rPr>
        <w:fldChar w:fldCharType="begin"/>
      </w:r>
      <w:r w:rsidRPr="007E0BA3">
        <w:rPr>
          <w:sz w:val="28"/>
          <w:szCs w:val="28"/>
        </w:rPr>
        <w:instrText xml:space="preserve"> HYPERLINK  "mailto:biblioteca@comune.mozzo.bg.it" </w:instrText>
      </w:r>
      <w:r w:rsidRPr="007E0BA3">
        <w:rPr>
          <w:sz w:val="28"/>
          <w:szCs w:val="28"/>
        </w:rPr>
      </w:r>
      <w:r w:rsidRPr="007E0BA3">
        <w:rPr>
          <w:sz w:val="28"/>
          <w:szCs w:val="28"/>
        </w:rPr>
        <w:fldChar w:fldCharType="separate"/>
      </w:r>
      <w:r w:rsidRPr="007E0BA3">
        <w:rPr>
          <w:rFonts w:ascii="Arial" w:hAnsi="Arial" w:cs="Arial"/>
          <w:sz w:val="20"/>
          <w:szCs w:val="20"/>
        </w:rPr>
        <w:t>i</w:t>
      </w:r>
      <w:r w:rsidRPr="007E0BA3">
        <w:rPr>
          <w:rFonts w:ascii="Arial" w:hAnsi="Arial" w:cs="Arial"/>
          <w:sz w:val="20"/>
          <w:szCs w:val="20"/>
        </w:rPr>
        <w:fldChar w:fldCharType="end"/>
      </w:r>
      <w:bookmarkEnd w:id="2"/>
      <w:bookmarkEnd w:id="3"/>
      <w:r w:rsidRPr="007E0BA3">
        <w:rPr>
          <w:sz w:val="28"/>
          <w:szCs w:val="28"/>
        </w:rPr>
        <w:fldChar w:fldCharType="begin"/>
      </w:r>
      <w:r w:rsidRPr="007E0BA3">
        <w:rPr>
          <w:sz w:val="28"/>
          <w:szCs w:val="28"/>
        </w:rPr>
        <w:instrText xml:space="preserve"> HYPERLINK  "mailto:biblioteca@comune.mozzo.bg.it" </w:instrText>
      </w:r>
      <w:r w:rsidRPr="007E0BA3">
        <w:rPr>
          <w:sz w:val="28"/>
          <w:szCs w:val="28"/>
        </w:rPr>
      </w:r>
      <w:r w:rsidRPr="007E0BA3">
        <w:rPr>
          <w:sz w:val="28"/>
          <w:szCs w:val="28"/>
        </w:rPr>
        <w:fldChar w:fldCharType="separate"/>
      </w:r>
      <w:r w:rsidRPr="007E0BA3">
        <w:rPr>
          <w:rFonts w:ascii="Arial" w:hAnsi="Arial" w:cs="Arial"/>
          <w:sz w:val="20"/>
          <w:szCs w:val="20"/>
        </w:rPr>
        <w:t>t</w:t>
      </w:r>
      <w:r w:rsidRPr="007E0BA3">
        <w:rPr>
          <w:rFonts w:ascii="Arial" w:hAnsi="Arial" w:cs="Arial"/>
          <w:sz w:val="20"/>
          <w:szCs w:val="20"/>
        </w:rPr>
        <w:fldChar w:fldCharType="end"/>
      </w:r>
      <w:r w:rsidRPr="007E0BA3">
        <w:rPr>
          <w:rFonts w:ascii="Arial" w:hAnsi="Arial" w:cs="Arial"/>
          <w:sz w:val="20"/>
          <w:szCs w:val="20"/>
        </w:rPr>
        <w:t xml:space="preserve">, oppure telefonando a Maurizio </w:t>
      </w:r>
      <w:proofErr w:type="spellStart"/>
      <w:r w:rsidRPr="007E0BA3">
        <w:rPr>
          <w:rFonts w:ascii="Arial" w:hAnsi="Arial" w:cs="Arial"/>
          <w:sz w:val="20"/>
          <w:szCs w:val="20"/>
        </w:rPr>
        <w:t>Briccoli</w:t>
      </w:r>
      <w:proofErr w:type="spellEnd"/>
      <w:r w:rsidRPr="007E0B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BA3">
        <w:rPr>
          <w:rFonts w:ascii="Arial" w:hAnsi="Arial" w:cs="Arial"/>
          <w:sz w:val="20"/>
          <w:szCs w:val="20"/>
        </w:rPr>
        <w:t>cell</w:t>
      </w:r>
      <w:proofErr w:type="spellEnd"/>
      <w:r w:rsidRPr="007E0BA3">
        <w:rPr>
          <w:rFonts w:ascii="Arial" w:hAnsi="Arial" w:cs="Arial"/>
          <w:sz w:val="20"/>
          <w:szCs w:val="20"/>
        </w:rPr>
        <w:t xml:space="preserve">. 339.5978090 o a Luigi Riva </w:t>
      </w:r>
      <w:proofErr w:type="spellStart"/>
      <w:r w:rsidRPr="007E0BA3">
        <w:rPr>
          <w:rFonts w:ascii="Arial" w:hAnsi="Arial" w:cs="Arial"/>
          <w:sz w:val="20"/>
          <w:szCs w:val="20"/>
        </w:rPr>
        <w:t>cell</w:t>
      </w:r>
      <w:proofErr w:type="spellEnd"/>
      <w:r w:rsidRPr="007E0BA3">
        <w:rPr>
          <w:rFonts w:ascii="Arial" w:hAnsi="Arial" w:cs="Arial"/>
          <w:sz w:val="20"/>
          <w:szCs w:val="20"/>
        </w:rPr>
        <w:t>. 349.891746 4</w:t>
      </w:r>
      <w:r w:rsidRPr="007E0BA3">
        <w:rPr>
          <w:rFonts w:ascii="Arial" w:hAnsi="Arial" w:cs="Arial"/>
          <w:b/>
          <w:bCs/>
          <w:sz w:val="20"/>
          <w:szCs w:val="20"/>
        </w:rPr>
        <w:t>Iscrizioni</w:t>
      </w:r>
      <w:r w:rsidRPr="007E0BA3">
        <w:rPr>
          <w:rFonts w:ascii="Arial" w:hAnsi="Arial" w:cs="Arial"/>
          <w:bCs/>
          <w:sz w:val="20"/>
          <w:szCs w:val="20"/>
        </w:rPr>
        <w:t xml:space="preserve">: </w:t>
      </w:r>
      <w:r w:rsidRPr="007E0BA3">
        <w:rPr>
          <w:rFonts w:ascii="Arial" w:hAnsi="Arial" w:cs="Arial"/>
          <w:sz w:val="20"/>
          <w:szCs w:val="20"/>
        </w:rPr>
        <w:t>Biblioteca</w:t>
      </w:r>
      <w:r w:rsidRPr="007E0BA3">
        <w:rPr>
          <w:rFonts w:ascii="Arial" w:hAnsi="Arial" w:cs="Arial"/>
          <w:bCs/>
          <w:sz w:val="20"/>
          <w:szCs w:val="20"/>
        </w:rPr>
        <w:t xml:space="preserve"> un’ora prima dell’inizio di ciascun corso, sede </w:t>
      </w:r>
      <w:r w:rsidRPr="007E0BA3">
        <w:rPr>
          <w:rFonts w:ascii="Arial" w:hAnsi="Arial" w:cs="Arial"/>
          <w:b/>
          <w:bCs/>
          <w:i/>
          <w:sz w:val="20"/>
          <w:szCs w:val="20"/>
        </w:rPr>
        <w:t xml:space="preserve">Tu </w:t>
      </w:r>
      <w:r w:rsidRPr="007E0BA3">
        <w:rPr>
          <w:rFonts w:ascii="Arial" w:hAnsi="Arial" w:cs="Arial"/>
          <w:bCs/>
          <w:sz w:val="20"/>
          <w:szCs w:val="20"/>
        </w:rPr>
        <w:t>di Bergamo e</w:t>
      </w:r>
      <w:r w:rsidRPr="007E0BA3">
        <w:rPr>
          <w:rFonts w:ascii="Arial" w:hAnsi="Arial" w:cs="Arial"/>
          <w:sz w:val="20"/>
          <w:szCs w:val="20"/>
        </w:rPr>
        <w:t xml:space="preserve"> on line </w:t>
      </w:r>
      <w:hyperlink r:id="rId6" w:history="1">
        <w:r w:rsidRPr="00C90314">
          <w:rPr>
            <w:rStyle w:val="Collegamentoipertestuale"/>
            <w:rFonts w:ascii="Arial" w:hAnsi="Arial" w:cs="Arial"/>
            <w:sz w:val="20"/>
            <w:szCs w:val="20"/>
          </w:rPr>
          <w:t>www.terzauniversita.it</w:t>
        </w:r>
      </w:hyperlink>
      <w:bookmarkEnd w:id="0"/>
      <w:bookmarkEnd w:id="1"/>
    </w:p>
    <w:p w14:paraId="434DDAA5" w14:textId="77777777" w:rsidR="007E0BA3" w:rsidRPr="007E0BA3" w:rsidRDefault="007E0BA3" w:rsidP="007E0BA3">
      <w:pPr>
        <w:pStyle w:val="Standard"/>
        <w:jc w:val="both"/>
        <w:rPr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F4443B">
        <w:trPr>
          <w:trHeight w:val="489"/>
        </w:trPr>
        <w:tc>
          <w:tcPr>
            <w:tcW w:w="1964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340A007E" w:rsidR="005E73CA" w:rsidRPr="009124C2" w:rsidRDefault="007E0BA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118</w:t>
            </w:r>
          </w:p>
        </w:tc>
        <w:tc>
          <w:tcPr>
            <w:tcW w:w="6783" w:type="dxa"/>
            <w:vAlign w:val="center"/>
          </w:tcPr>
          <w:p w14:paraId="47AB3DF8" w14:textId="7C28504B" w:rsidR="005E73CA" w:rsidRPr="007E0BA3" w:rsidRDefault="007E0BA3" w:rsidP="007E0BA3">
            <w:pPr>
              <w:pStyle w:val="Standard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7E0BA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IL SEGRETO DEL MIO SUCCESSO</w:t>
            </w:r>
          </w:p>
        </w:tc>
      </w:tr>
    </w:tbl>
    <w:p w14:paraId="35F3D8F4" w14:textId="77777777" w:rsidR="00CE0E41" w:rsidRPr="007E0BA3" w:rsidRDefault="00CE0E41" w:rsidP="00CE0E41">
      <w:pPr>
        <w:rPr>
          <w:sz w:val="14"/>
          <w:szCs w:val="1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B21D656" w:rsidR="00CE0E41" w:rsidRPr="007E0BA3" w:rsidRDefault="007E0BA3" w:rsidP="007E0BA3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Giovanna </w:t>
            </w:r>
            <w:r w:rsidRPr="007E0BA3">
              <w:rPr>
                <w:rFonts w:ascii="Arial" w:hAnsi="Arial" w:cs="Arial"/>
                <w:b/>
                <w:bCs/>
              </w:rPr>
              <w:t>Ramona Vespasiano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0BABD5A3" w:rsidR="00CE0E41" w:rsidRPr="007E0BA3" w:rsidRDefault="007E0BA3" w:rsidP="007E0BA3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7E0BA3">
              <w:rPr>
                <w:rFonts w:ascii="Arial" w:hAnsi="Arial" w:cs="Arial"/>
                <w:bCs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0A5442B6" w:rsidR="00CE0E41" w:rsidRPr="007E0BA3" w:rsidRDefault="00E17078" w:rsidP="00CB3121">
            <w:pPr>
              <w:rPr>
                <w:sz w:val="24"/>
              </w:rPr>
            </w:pPr>
            <w:r w:rsidRPr="007E0BA3">
              <w:rPr>
                <w:sz w:val="24"/>
              </w:rPr>
              <w:t>15.00-17.15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62739AD5" w:rsidR="00CE0E41" w:rsidRPr="007E0BA3" w:rsidRDefault="00CE0E41" w:rsidP="00CB3121">
            <w:pPr>
              <w:rPr>
                <w:sz w:val="24"/>
              </w:rPr>
            </w:pPr>
            <w:r w:rsidRPr="007E0BA3">
              <w:rPr>
                <w:sz w:val="24"/>
              </w:rPr>
              <w:t xml:space="preserve">Dal </w:t>
            </w:r>
            <w:r w:rsidR="007E0BA3" w:rsidRPr="007E0BA3">
              <w:rPr>
                <w:rFonts w:cs="Arial"/>
                <w:bCs/>
                <w:sz w:val="24"/>
              </w:rPr>
              <w:t>10 gennaio al 21 febbraio 2024 (7 incontri - € 25,00)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6D66C6C" w:rsidR="00CE0E41" w:rsidRPr="007E0BA3" w:rsidRDefault="007E0BA3" w:rsidP="00CB3121">
            <w:pPr>
              <w:jc w:val="both"/>
              <w:rPr>
                <w:sz w:val="24"/>
              </w:rPr>
            </w:pPr>
            <w:r w:rsidRPr="007E0BA3">
              <w:rPr>
                <w:rFonts w:cs="Arial"/>
                <w:sz w:val="24"/>
              </w:rPr>
              <w:t>Sala Civica (Biblioteca), via Orobie 1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87A76F7" w:rsidR="00CE0E41" w:rsidRPr="007E0BA3" w:rsidRDefault="00707CDE" w:rsidP="007E0BA3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PSICOLOGIA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D045BA2" w:rsidR="00CE0E41" w:rsidRPr="007E0BA3" w:rsidRDefault="007E0BA3" w:rsidP="007E0BA3">
            <w:pPr>
              <w:pStyle w:val="Standard"/>
              <w:jc w:val="both"/>
              <w:rPr>
                <w:rFonts w:ascii="Arial" w:hAnsi="Arial" w:cs="Arial"/>
                <w:i/>
                <w:iCs/>
              </w:rPr>
            </w:pPr>
            <w:r w:rsidRPr="007E0BA3">
              <w:rPr>
                <w:rFonts w:ascii="Arial" w:hAnsi="Arial" w:cs="Arial"/>
                <w:i/>
                <w:iCs/>
              </w:rPr>
              <w:t xml:space="preserve">Come imparare ad essere positivi. Avere un atteggiamento positivo, vedere il cosiddetto ‘bicchiere mezzo </w:t>
            </w:r>
            <w:proofErr w:type="spellStart"/>
            <w:r w:rsidRPr="007E0BA3">
              <w:rPr>
                <w:rFonts w:ascii="Arial" w:hAnsi="Arial" w:cs="Arial"/>
                <w:i/>
                <w:iCs/>
              </w:rPr>
              <w:t>pieno’</w:t>
            </w:r>
            <w:proofErr w:type="spellEnd"/>
            <w:r w:rsidRPr="007E0BA3">
              <w:rPr>
                <w:rFonts w:ascii="Arial" w:hAnsi="Arial" w:cs="Arial"/>
                <w:i/>
                <w:iCs/>
              </w:rPr>
              <w:t>, sorridere sono azioni di vita che possono influire in modo benefico sulla nostra quotidianità. Vivere il momento, lasciarsi andare alle emozioni e uscire dal guscio significa assaporare la vita in modo completamente diverso, con trasporto e sentimento. Questo corso propone di scoprire cosa significa ‘pensare positivo’ e vuole indicare dei passi, piccoli cambiamenti per migliorare la propria esistenza.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F4443B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1E471E15" w:rsidR="00CE0E41" w:rsidRPr="009124C2" w:rsidRDefault="007E0BA3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10.01.2024</w:t>
            </w:r>
          </w:p>
        </w:tc>
        <w:tc>
          <w:tcPr>
            <w:tcW w:w="7487" w:type="dxa"/>
            <w:vAlign w:val="center"/>
          </w:tcPr>
          <w:p w14:paraId="5C2B06AB" w14:textId="12B2353D" w:rsidR="00CE0E41" w:rsidRPr="00B64D67" w:rsidRDefault="00F4443B" w:rsidP="00F4443B">
            <w:pPr>
              <w:rPr>
                <w:rFonts w:cs="Arial"/>
                <w:sz w:val="22"/>
                <w:szCs w:val="22"/>
              </w:rPr>
            </w:pPr>
            <w:r w:rsidRPr="00F4443B">
              <w:rPr>
                <w:rFonts w:cs="Arial"/>
                <w:sz w:val="22"/>
                <w:szCs w:val="22"/>
              </w:rPr>
              <w:t xml:space="preserve">Introduzione all'Educazione al Pensiero Positivo </w:t>
            </w:r>
          </w:p>
        </w:tc>
      </w:tr>
      <w:tr w:rsidR="00CE0E41" w:rsidRPr="009124C2" w14:paraId="14CE0752" w14:textId="77777777" w:rsidTr="00F4443B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41B7B3F5" w:rsidR="00CE0E41" w:rsidRPr="009124C2" w:rsidRDefault="007E0BA3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17.01.2024</w:t>
            </w:r>
          </w:p>
        </w:tc>
        <w:tc>
          <w:tcPr>
            <w:tcW w:w="7487" w:type="dxa"/>
            <w:vAlign w:val="center"/>
          </w:tcPr>
          <w:p w14:paraId="4AC22338" w14:textId="3B8CD7AF" w:rsidR="00CE0E41" w:rsidRPr="00B64D67" w:rsidRDefault="00F4443B" w:rsidP="00CB3121">
            <w:pPr>
              <w:rPr>
                <w:rFonts w:cs="Arial"/>
                <w:sz w:val="22"/>
                <w:szCs w:val="22"/>
              </w:rPr>
            </w:pPr>
            <w:r w:rsidRPr="00F4443B">
              <w:rPr>
                <w:rFonts w:cs="Arial"/>
                <w:sz w:val="22"/>
                <w:szCs w:val="22"/>
              </w:rPr>
              <w:t>Le cause di infelicità parte prima</w:t>
            </w:r>
          </w:p>
        </w:tc>
      </w:tr>
      <w:tr w:rsidR="00CE0E41" w:rsidRPr="009124C2" w14:paraId="638AFA5D" w14:textId="77777777" w:rsidTr="00F4443B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0F013AE8" w:rsidR="00CE0E41" w:rsidRPr="009124C2" w:rsidRDefault="007E0BA3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</w:t>
            </w:r>
          </w:p>
        </w:tc>
        <w:tc>
          <w:tcPr>
            <w:tcW w:w="7487" w:type="dxa"/>
            <w:vAlign w:val="center"/>
          </w:tcPr>
          <w:p w14:paraId="0DA08E97" w14:textId="22210F9E" w:rsidR="00CE0E41" w:rsidRPr="00B64D67" w:rsidRDefault="00F4443B" w:rsidP="00CB3121">
            <w:pPr>
              <w:rPr>
                <w:rFonts w:cs="Arial"/>
                <w:sz w:val="22"/>
                <w:szCs w:val="22"/>
              </w:rPr>
            </w:pPr>
            <w:r w:rsidRPr="00F4443B">
              <w:rPr>
                <w:rFonts w:cs="Arial"/>
                <w:sz w:val="22"/>
                <w:szCs w:val="22"/>
              </w:rPr>
              <w:t>Le cause di infelicità parte seconda</w:t>
            </w:r>
          </w:p>
        </w:tc>
      </w:tr>
      <w:tr w:rsidR="00CE0E41" w:rsidRPr="009124C2" w14:paraId="4099DA0F" w14:textId="77777777" w:rsidTr="00F4443B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1A73D180" w:rsidR="00CE0E41" w:rsidRPr="00EB4BE2" w:rsidRDefault="007E0BA3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31.01.2024</w:t>
            </w:r>
          </w:p>
        </w:tc>
        <w:tc>
          <w:tcPr>
            <w:tcW w:w="7487" w:type="dxa"/>
            <w:vAlign w:val="center"/>
          </w:tcPr>
          <w:p w14:paraId="4BB0BD26" w14:textId="77777777" w:rsidR="00F4443B" w:rsidRPr="00F4443B" w:rsidRDefault="00F4443B" w:rsidP="00F4443B">
            <w:pPr>
              <w:rPr>
                <w:rFonts w:cs="Arial"/>
                <w:sz w:val="22"/>
                <w:szCs w:val="22"/>
              </w:rPr>
            </w:pPr>
            <w:r w:rsidRPr="00F4443B">
              <w:rPr>
                <w:rFonts w:cs="Arial"/>
                <w:sz w:val="22"/>
                <w:szCs w:val="22"/>
              </w:rPr>
              <w:t>La Legge di Attrazione</w:t>
            </w:r>
          </w:p>
          <w:p w14:paraId="30D042A7" w14:textId="1E94E6D2" w:rsidR="00CE0E41" w:rsidRPr="00B64D67" w:rsidRDefault="00F4443B" w:rsidP="00F4443B">
            <w:pPr>
              <w:rPr>
                <w:rFonts w:cs="Arial"/>
                <w:sz w:val="22"/>
                <w:szCs w:val="22"/>
              </w:rPr>
            </w:pPr>
            <w:r w:rsidRPr="00F4443B">
              <w:rPr>
                <w:rFonts w:cs="Arial"/>
                <w:sz w:val="22"/>
                <w:szCs w:val="22"/>
              </w:rPr>
              <w:t>Cos'è la Legge di Attrazione</w:t>
            </w:r>
          </w:p>
        </w:tc>
      </w:tr>
      <w:tr w:rsidR="00CE0E41" w:rsidRPr="009124C2" w14:paraId="5E54F49D" w14:textId="77777777" w:rsidTr="00F4443B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2FEAF38E" w:rsidR="00CE0E41" w:rsidRPr="009124C2" w:rsidRDefault="007E0BA3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07.02.2024</w:t>
            </w:r>
          </w:p>
        </w:tc>
        <w:tc>
          <w:tcPr>
            <w:tcW w:w="7487" w:type="dxa"/>
            <w:vAlign w:val="center"/>
          </w:tcPr>
          <w:p w14:paraId="69402EEC" w14:textId="26B493DB" w:rsidR="00CE0E41" w:rsidRPr="00B64D67" w:rsidRDefault="00F4443B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F4443B">
              <w:rPr>
                <w:rFonts w:cs="Arial"/>
                <w:sz w:val="22"/>
                <w:szCs w:val="22"/>
              </w:rPr>
              <w:t>Strumenti per applicare la Legge di Attrazione</w:t>
            </w:r>
          </w:p>
        </w:tc>
      </w:tr>
      <w:tr w:rsidR="00CE0E41" w:rsidRPr="009124C2" w14:paraId="02325D45" w14:textId="77777777" w:rsidTr="00F4443B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3C449F13" w:rsidR="00CE0E41" w:rsidRPr="009124C2" w:rsidRDefault="007E0BA3" w:rsidP="005E73C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14.</w:t>
            </w:r>
            <w:r>
              <w:rPr>
                <w:sz w:val="22"/>
                <w:szCs w:val="22"/>
              </w:rPr>
              <w:t>02.2024</w:t>
            </w:r>
          </w:p>
        </w:tc>
        <w:tc>
          <w:tcPr>
            <w:tcW w:w="7487" w:type="dxa"/>
            <w:vAlign w:val="center"/>
          </w:tcPr>
          <w:p w14:paraId="719F2A9A" w14:textId="5F3FD848" w:rsidR="00CE0E41" w:rsidRPr="00B64D67" w:rsidRDefault="00F4443B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F4443B">
              <w:rPr>
                <w:rFonts w:cs="Arial"/>
                <w:sz w:val="22"/>
                <w:szCs w:val="22"/>
              </w:rPr>
              <w:t>Come diventare immuni all'attrazione negativa</w:t>
            </w:r>
          </w:p>
        </w:tc>
      </w:tr>
      <w:tr w:rsidR="00CE0E41" w:rsidRPr="009124C2" w14:paraId="1390F27B" w14:textId="77777777" w:rsidTr="00F4443B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572C0C4F" w:rsidR="00CE0E41" w:rsidRPr="009124C2" w:rsidRDefault="007E0BA3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21.02.2024</w:t>
            </w:r>
          </w:p>
        </w:tc>
        <w:tc>
          <w:tcPr>
            <w:tcW w:w="7487" w:type="dxa"/>
            <w:vAlign w:val="center"/>
          </w:tcPr>
          <w:p w14:paraId="13A74864" w14:textId="1CA59647" w:rsidR="00CE0E41" w:rsidRPr="00B64D67" w:rsidRDefault="00F4443B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F4443B">
              <w:rPr>
                <w:rFonts w:cs="Arial"/>
                <w:sz w:val="22"/>
                <w:szCs w:val="22"/>
              </w:rPr>
              <w:t>La trasformazione positiva del pensiero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262A85"/>
    <w:rsid w:val="00422C2B"/>
    <w:rsid w:val="00437D8A"/>
    <w:rsid w:val="00565751"/>
    <w:rsid w:val="005E73CA"/>
    <w:rsid w:val="00707CDE"/>
    <w:rsid w:val="007E0BA3"/>
    <w:rsid w:val="007E683C"/>
    <w:rsid w:val="00967B0C"/>
    <w:rsid w:val="00B64D67"/>
    <w:rsid w:val="00C8011A"/>
    <w:rsid w:val="00CB6454"/>
    <w:rsid w:val="00CE0E41"/>
    <w:rsid w:val="00E05E4D"/>
    <w:rsid w:val="00E17078"/>
    <w:rsid w:val="00EF0930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Standard">
    <w:name w:val="Standard"/>
    <w:rsid w:val="007E0BA3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7E0B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0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zauniversita.it" TargetMode="External"/><Relationship Id="rId5" Type="http://schemas.openxmlformats.org/officeDocument/2006/relationships/hyperlink" Target="mailto:biblioteca@comune.mozzo.bg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3</cp:revision>
  <dcterms:created xsi:type="dcterms:W3CDTF">2023-07-05T08:28:00Z</dcterms:created>
  <dcterms:modified xsi:type="dcterms:W3CDTF">2023-10-04T08:28:00Z</dcterms:modified>
</cp:coreProperties>
</file>