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B24" w:rsidRPr="0035073B" w:rsidRDefault="008A2275" w:rsidP="0035073B">
      <w:pPr>
        <w:pStyle w:val="NormaleWeb"/>
        <w:tabs>
          <w:tab w:val="left" w:pos="4320"/>
        </w:tabs>
        <w:spacing w:before="0" w:beforeAutospacing="0" w:after="0" w:afterAutospacing="0"/>
        <w:rPr>
          <w:b/>
        </w:rPr>
      </w:pPr>
      <w:r w:rsidRPr="0035073B">
        <w:rPr>
          <w:b/>
        </w:rPr>
        <w:t>2</w:t>
      </w:r>
      <w:r w:rsidR="000347C2" w:rsidRPr="0035073B">
        <w:rPr>
          <w:b/>
        </w:rPr>
        <w:t>1</w:t>
      </w:r>
      <w:r w:rsidR="00AB7675" w:rsidRPr="0035073B">
        <w:rPr>
          <w:b/>
        </w:rPr>
        <w:t xml:space="preserve">. </w:t>
      </w:r>
    </w:p>
    <w:p w:rsidR="008A2275" w:rsidRPr="0035073B" w:rsidRDefault="008A2275" w:rsidP="0035073B">
      <w:pPr>
        <w:pStyle w:val="NormaleWeb"/>
        <w:tabs>
          <w:tab w:val="left" w:pos="4320"/>
        </w:tabs>
        <w:spacing w:before="0" w:beforeAutospacing="0" w:after="0" w:afterAutospacing="0"/>
        <w:rPr>
          <w:b/>
        </w:rPr>
      </w:pPr>
      <w:r w:rsidRPr="0035073B">
        <w:rPr>
          <w:b/>
        </w:rPr>
        <w:t>Kant Immanuel</w:t>
      </w:r>
      <w:r w:rsidR="00863739" w:rsidRPr="0035073B">
        <w:rPr>
          <w:b/>
        </w:rPr>
        <w:t xml:space="preserve">   </w:t>
      </w:r>
      <w:r w:rsidR="0035073B" w:rsidRPr="0035073B">
        <w:rPr>
          <w:b/>
        </w:rPr>
        <w:t xml:space="preserve">       </w:t>
      </w:r>
      <w:r w:rsidR="00D45952">
        <w:rPr>
          <w:b/>
        </w:rPr>
        <w:t xml:space="preserve"> </w:t>
      </w:r>
      <w:r w:rsidR="00D45952">
        <w:t>«</w:t>
      </w:r>
      <w:r w:rsidR="0035073B" w:rsidRPr="0035073B">
        <w:rPr>
          <w:i/>
        </w:rPr>
        <w:t>che cosa posso sapere? che cosa devo fare? che cosa posso sperare?</w:t>
      </w:r>
      <w:r w:rsidR="00D45952">
        <w:t>»</w:t>
      </w:r>
      <w:r w:rsidR="00863739" w:rsidRPr="0035073B">
        <w:rPr>
          <w:b/>
        </w:rPr>
        <w:t xml:space="preserve">                                </w:t>
      </w:r>
    </w:p>
    <w:p w:rsidR="00AB7675" w:rsidRPr="0035073B" w:rsidRDefault="002B514E" w:rsidP="0035073B">
      <w:pPr>
        <w:pStyle w:val="NormaleWeb"/>
        <w:tabs>
          <w:tab w:val="left" w:pos="4320"/>
        </w:tabs>
        <w:spacing w:before="0" w:beforeAutospacing="0" w:after="0" w:afterAutospacing="0"/>
        <w:rPr>
          <w:b/>
        </w:rPr>
      </w:pPr>
      <w:r w:rsidRPr="0035073B">
        <w:t>(</w:t>
      </w:r>
      <w:r w:rsidR="008A2275" w:rsidRPr="0035073B">
        <w:t>1724-1804</w:t>
      </w:r>
      <w:r w:rsidR="00AB7675" w:rsidRPr="0035073B">
        <w:t>)</w:t>
      </w:r>
      <w:r w:rsidR="00AB7675" w:rsidRPr="0035073B">
        <w:rPr>
          <w:b/>
        </w:rPr>
        <w:t xml:space="preserve"> </w:t>
      </w:r>
      <w:r w:rsidR="003344D6">
        <w:rPr>
          <w:b/>
        </w:rPr>
        <w:t xml:space="preserve">                </w:t>
      </w:r>
      <w:r w:rsidR="003344D6" w:rsidRPr="003344D6">
        <w:t xml:space="preserve"> </w:t>
      </w:r>
      <w:r w:rsidR="003344D6" w:rsidRPr="00602EEA">
        <w:rPr>
          <w:b/>
        </w:rPr>
        <w:t>trascendentale</w:t>
      </w:r>
    </w:p>
    <w:p w:rsidR="0008039F" w:rsidRPr="0035073B" w:rsidRDefault="0008039F" w:rsidP="0035073B">
      <w:pPr>
        <w:pStyle w:val="NormaleWeb"/>
        <w:tabs>
          <w:tab w:val="left" w:pos="4320"/>
        </w:tabs>
        <w:spacing w:before="0" w:beforeAutospacing="0" w:after="0" w:afterAutospacing="0"/>
        <w:rPr>
          <w:sz w:val="8"/>
        </w:rPr>
      </w:pPr>
    </w:p>
    <w:p w:rsidR="00C56565" w:rsidRDefault="0035073B" w:rsidP="00C56565">
      <w:pPr>
        <w:pStyle w:val="NormaleWeb"/>
        <w:spacing w:before="0" w:beforeAutospacing="0" w:after="0" w:afterAutospacing="0"/>
      </w:pPr>
      <w:r w:rsidRPr="0035073B">
        <w:rPr>
          <w:b/>
        </w:rPr>
        <w:t>Kant vuole avviare l’esame preliminare della mente umana</w:t>
      </w:r>
      <w:r w:rsidRPr="0035073B">
        <w:t xml:space="preserve"> e considera tale progetto come il primo, preliminare e doveroso, impegno della filosofia: «</w:t>
      </w:r>
      <w:r w:rsidRPr="0035073B">
        <w:rPr>
          <w:i/>
        </w:rPr>
        <w:t>un invito alla ragione di assumersi nuovamente il più grave dei suoi uffici, cioè la conoscenza di sé, e di erigere un tribunale, che la garantisca nelle sue pretese legittime, ma condanni quelle che non hanno fondamento, non arbitrariamente, ma secondo le sue eterne e immutabili leggi; e questo tribunale non può essere se non la critica della ragion pura stessa</w:t>
      </w:r>
      <w:r w:rsidRPr="0035073B">
        <w:t>» (</w:t>
      </w:r>
      <w:r w:rsidRPr="0035073B">
        <w:rPr>
          <w:i/>
        </w:rPr>
        <w:t>Critica della Ragion Pura</w:t>
      </w:r>
      <w:r w:rsidR="00612796">
        <w:rPr>
          <w:i/>
        </w:rPr>
        <w:t xml:space="preserve"> </w:t>
      </w:r>
      <w:r w:rsidR="00612796" w:rsidRPr="00612796">
        <w:t>[CRP</w:t>
      </w:r>
      <w:r w:rsidR="00612796">
        <w:t>]</w:t>
      </w:r>
      <w:r w:rsidRPr="0035073B">
        <w:t xml:space="preserve">).  </w:t>
      </w:r>
      <w:r w:rsidR="00C56565">
        <w:t>Kant definisce trascendentale l’indagine che intende condurre: si occuperà infatti «</w:t>
      </w:r>
      <w:r w:rsidR="00C56565">
        <w:rPr>
          <w:i/>
        </w:rPr>
        <w:t xml:space="preserve">non tanto di oggetti, quanto invece del nostro modo di conoscere gli oggetti, nel senso che un tale </w:t>
      </w:r>
      <w:r w:rsidR="00C56565">
        <w:rPr>
          <w:bCs/>
          <w:i/>
        </w:rPr>
        <w:t>modo</w:t>
      </w:r>
      <w:r w:rsidR="00C56565">
        <w:rPr>
          <w:b/>
          <w:bCs/>
          <w:i/>
        </w:rPr>
        <w:t xml:space="preserve"> </w:t>
      </w:r>
      <w:r w:rsidR="00C56565">
        <w:rPr>
          <w:i/>
        </w:rPr>
        <w:t xml:space="preserve">di conoscenza deve essere </w:t>
      </w:r>
      <w:r w:rsidR="00C56565">
        <w:rPr>
          <w:iCs/>
        </w:rPr>
        <w:t>a priori».</w:t>
      </w:r>
      <w:r w:rsidR="00C56565">
        <w:rPr>
          <w:i/>
          <w:iCs/>
        </w:rPr>
        <w:t xml:space="preserve"> </w:t>
      </w:r>
      <w:r w:rsidR="00612796">
        <w:t>L</w:t>
      </w:r>
      <w:r w:rsidR="00612796" w:rsidRPr="0035073B">
        <w:t>a ricerca delle condizioni di possibilità dell'esperienza</w:t>
      </w:r>
      <w:r w:rsidR="00612796">
        <w:t>, e u</w:t>
      </w:r>
      <w:r w:rsidRPr="0035073B">
        <w:t>na mappa delle po</w:t>
      </w:r>
      <w:r w:rsidR="00612796">
        <w:t>tenzialità</w:t>
      </w:r>
      <w:r w:rsidRPr="0035073B">
        <w:t xml:space="preserve"> della mente</w:t>
      </w:r>
      <w:r>
        <w:t>, è resa possibile da</w:t>
      </w:r>
      <w:r w:rsidR="00612796">
        <w:t>ll’</w:t>
      </w:r>
      <w:r w:rsidRPr="0035073B">
        <w:t xml:space="preserve">impianto trascendentale </w:t>
      </w:r>
      <w:r>
        <w:t>della filosofia</w:t>
      </w:r>
      <w:r w:rsidR="00612796">
        <w:t>: una</w:t>
      </w:r>
      <w:r>
        <w:t xml:space="preserve"> ricerca delle possibilità a priori </w:t>
      </w:r>
      <w:r w:rsidR="009A6422">
        <w:t xml:space="preserve">(pura) </w:t>
      </w:r>
      <w:r w:rsidR="00612796">
        <w:t xml:space="preserve">condotta </w:t>
      </w:r>
      <w:r>
        <w:t>indipendentemente dall’esperienza</w:t>
      </w:r>
      <w:r w:rsidR="00612796">
        <w:t xml:space="preserve">. </w:t>
      </w:r>
    </w:p>
    <w:p w:rsidR="0035073B" w:rsidRPr="0035073B" w:rsidRDefault="00C56565" w:rsidP="00C56565">
      <w:pPr>
        <w:pStyle w:val="NormaleWeb"/>
        <w:spacing w:before="0" w:beforeAutospacing="0" w:after="0" w:afterAutospacing="0"/>
      </w:pPr>
      <w:r w:rsidRPr="00C56565">
        <w:rPr>
          <w:b/>
        </w:rPr>
        <w:t>La strategia dell’indagine trascendentale</w:t>
      </w:r>
      <w:r w:rsidRPr="0035073B">
        <w:t xml:space="preserve"> mira a isolare e studiare analiticamente quelle forme del soggetto che, in quanto </w:t>
      </w:r>
      <w:r w:rsidRPr="0035073B">
        <w:rPr>
          <w:i/>
        </w:rPr>
        <w:t>a</w:t>
      </w:r>
      <w:r w:rsidRPr="0035073B">
        <w:t xml:space="preserve"> </w:t>
      </w:r>
      <w:r w:rsidRPr="0035073B">
        <w:rPr>
          <w:i/>
          <w:iCs/>
        </w:rPr>
        <w:t xml:space="preserve">priori </w:t>
      </w:r>
      <w:r w:rsidRPr="0035073B">
        <w:t>(non derivate dall’esperienza</w:t>
      </w:r>
      <w:r w:rsidR="00903491">
        <w:t xml:space="preserve"> [</w:t>
      </w:r>
      <w:r w:rsidRPr="0035073B">
        <w:t>anche a loro si applica il termine trascendentale: si tratta di forme trascendentali della mente</w:t>
      </w:r>
      <w:r w:rsidR="00903491">
        <w:t>]</w:t>
      </w:r>
      <w:r w:rsidRPr="0035073B">
        <w:t>) rendono possibile al soggetto l’esperienza conoscitiva (non derivano dall’esperienza, ne sono la condizione)</w:t>
      </w:r>
      <w:r>
        <w:t xml:space="preserve">. </w:t>
      </w:r>
      <w:r w:rsidR="0035073B" w:rsidRPr="0035073B">
        <w:t xml:space="preserve">Kant </w:t>
      </w:r>
      <w:r w:rsidR="00612796">
        <w:t xml:space="preserve">è convinto: </w:t>
      </w:r>
      <w:r w:rsidR="0035073B" w:rsidRPr="0035073B">
        <w:t xml:space="preserve">i risultati della </w:t>
      </w:r>
      <w:r w:rsidR="003344D6">
        <w:t>sua</w:t>
      </w:r>
      <w:r w:rsidR="0035073B" w:rsidRPr="0035073B">
        <w:t xml:space="preserve"> indagine trascendentale presenta</w:t>
      </w:r>
      <w:r w:rsidR="00612796">
        <w:t>no</w:t>
      </w:r>
      <w:r w:rsidR="0035073B" w:rsidRPr="0035073B">
        <w:t xml:space="preserve"> con </w:t>
      </w:r>
      <w:r w:rsidR="0035073B" w:rsidRPr="0035073B">
        <w:rPr>
          <w:i/>
        </w:rPr>
        <w:t>compiutezza</w:t>
      </w:r>
      <w:r w:rsidR="0035073B" w:rsidRPr="0035073B">
        <w:t xml:space="preserve">, </w:t>
      </w:r>
      <w:r w:rsidR="0035073B" w:rsidRPr="0035073B">
        <w:rPr>
          <w:i/>
        </w:rPr>
        <w:t>certezza</w:t>
      </w:r>
      <w:r w:rsidR="0035073B" w:rsidRPr="0035073B">
        <w:t xml:space="preserve"> e </w:t>
      </w:r>
      <w:r w:rsidR="0035073B" w:rsidRPr="0035073B">
        <w:rPr>
          <w:i/>
        </w:rPr>
        <w:t>chiarezza</w:t>
      </w:r>
      <w:r w:rsidR="0035073B" w:rsidRPr="0035073B">
        <w:t xml:space="preserve">, l’intera mappa dell’a priori delle facoltà dell’uomo, il campo delle </w:t>
      </w:r>
      <w:r w:rsidR="00612796">
        <w:t xml:space="preserve">sue </w:t>
      </w:r>
      <w:r w:rsidR="0035073B" w:rsidRPr="0035073B">
        <w:t xml:space="preserve">possibilità e dei </w:t>
      </w:r>
      <w:r w:rsidR="00612796">
        <w:t xml:space="preserve">suoi </w:t>
      </w:r>
      <w:r w:rsidR="0035073B" w:rsidRPr="0035073B">
        <w:t xml:space="preserve">limiti. </w:t>
      </w:r>
      <w:r>
        <w:t>N</w:t>
      </w:r>
      <w:r w:rsidRPr="0035073B">
        <w:t>aturalmente</w:t>
      </w:r>
      <w:r>
        <w:t>,</w:t>
      </w:r>
      <w:r w:rsidRPr="0035073B">
        <w:t xml:space="preserve"> in quanto tali forme sono proprie del soggetto, l’universo delle conoscenze che ne deriva sarà tale per il soggetto umano e non pretenderà di svelare l’essenza del mondo, di descrivere la realtà quale essa è in sé o agli occhi di un’altra ipotetica intelligenza non umana.  Poiché </w:t>
      </w:r>
      <w:r w:rsidRPr="002B44F0">
        <w:t>«</w:t>
      </w:r>
      <w:proofErr w:type="spellStart"/>
      <w:r w:rsidRPr="0035073B">
        <w:rPr>
          <w:i/>
        </w:rPr>
        <w:t>…tutti</w:t>
      </w:r>
      <w:proofErr w:type="spellEnd"/>
      <w:r w:rsidRPr="0035073B">
        <w:rPr>
          <w:i/>
        </w:rPr>
        <w:t xml:space="preserve"> i principi dell’intelletto puro non sono altro che principi a priori della possibilità dell’esperienza, e a questa soltanto si riferiscono anche tutte le proposizioni sintetiche a priori; anzi la loro stessa possibilità si fonda totalmente su questa relazione</w:t>
      </w:r>
      <w:r w:rsidRPr="0035073B">
        <w:t xml:space="preserve">» (CRP). </w:t>
      </w:r>
      <w:r w:rsidR="00612796" w:rsidRPr="0035073B">
        <w:t xml:space="preserve">La ragione critica non indaga la realtà delle cose, ma le possibilità della mente: bisognerà allora stabilire </w:t>
      </w:r>
      <w:r w:rsidR="00612796" w:rsidRPr="0035073B">
        <w:rPr>
          <w:iCs/>
        </w:rPr>
        <w:t>fin</w:t>
      </w:r>
      <w:r w:rsidR="00612796" w:rsidRPr="0035073B">
        <w:rPr>
          <w:i/>
          <w:iCs/>
        </w:rPr>
        <w:t xml:space="preserve"> </w:t>
      </w:r>
      <w:r w:rsidR="00612796" w:rsidRPr="0035073B">
        <w:t>dove essa possa spingersi ed entro quali limiti debba arrestarsi. Limiti che definendo potenziano, delimitando svelano possibilità, le portano ad evidenza e le presentano alla disponibilità. «</w:t>
      </w:r>
      <w:r w:rsidR="00612796" w:rsidRPr="0035073B">
        <w:rPr>
          <w:i/>
        </w:rPr>
        <w:t>Conoscere qualcosa a priori significa conoscerla per la sua più pura possibilità</w:t>
      </w:r>
      <w:r w:rsidR="00612796" w:rsidRPr="0035073B">
        <w:t>» (</w:t>
      </w:r>
      <w:r w:rsidR="00612796" w:rsidRPr="0035073B">
        <w:rPr>
          <w:i/>
        </w:rPr>
        <w:t>Principi primi metafisici della scienza della natura</w:t>
      </w:r>
      <w:r w:rsidR="00612796" w:rsidRPr="0035073B">
        <w:t>).</w:t>
      </w:r>
      <w:r w:rsidR="00612796" w:rsidRPr="0035073B">
        <w:br/>
      </w:r>
      <w:r w:rsidR="00612796" w:rsidRPr="00612796">
        <w:rPr>
          <w:b/>
        </w:rPr>
        <w:t xml:space="preserve">È </w:t>
      </w:r>
      <w:r w:rsidR="0035073B" w:rsidRPr="0035073B">
        <w:rPr>
          <w:b/>
        </w:rPr>
        <w:t>ancora una “rivoluzione copernicana”</w:t>
      </w:r>
      <w:r w:rsidR="0035073B" w:rsidRPr="0035073B">
        <w:t xml:space="preserve"> della filosofia (come </w:t>
      </w:r>
      <w:r w:rsidR="003344D6">
        <w:t xml:space="preserve">per </w:t>
      </w:r>
      <w:r w:rsidR="0035073B" w:rsidRPr="0035073B">
        <w:t>la fisica con Galilei)</w:t>
      </w:r>
    </w:p>
    <w:p w:rsidR="0035073B" w:rsidRPr="0035073B" w:rsidRDefault="0035073B" w:rsidP="00350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073B">
        <w:rPr>
          <w:rFonts w:ascii="Times New Roman" w:hAnsi="Times New Roman" w:cs="Times New Roman"/>
          <w:sz w:val="24"/>
          <w:szCs w:val="24"/>
        </w:rPr>
        <w:t>«</w:t>
      </w:r>
      <w:r w:rsidRPr="0035073B">
        <w:rPr>
          <w:rFonts w:ascii="Times New Roman" w:hAnsi="Times New Roman" w:cs="Times New Roman"/>
          <w:i/>
          <w:sz w:val="24"/>
          <w:szCs w:val="24"/>
        </w:rPr>
        <w:t xml:space="preserve">Qui è proprio come per la prima idea di Copernico; il quale, vedendo che non poteva spiegare i movimenti celesti ammettendo che tutto l’esercito degli astri rotasse intorno allo spettatore, cercò se non potesse riuscir meglio facendo girare l’osservatore, e lasciando invece in riposo gli astri. </w:t>
      </w:r>
      <w:r w:rsidRPr="003344D6">
        <w:rPr>
          <w:rFonts w:ascii="Times New Roman" w:hAnsi="Times New Roman" w:cs="Times New Roman"/>
          <w:sz w:val="24"/>
          <w:szCs w:val="24"/>
        </w:rPr>
        <w:t xml:space="preserve">[…] </w:t>
      </w:r>
      <w:r w:rsidRPr="0035073B">
        <w:rPr>
          <w:rFonts w:ascii="Times New Roman" w:hAnsi="Times New Roman" w:cs="Times New Roman"/>
          <w:i/>
          <w:sz w:val="24"/>
          <w:szCs w:val="24"/>
        </w:rPr>
        <w:t xml:space="preserve">… perché l’esperienza stessa è un modo di conoscenza che richiede il concorso dell’intelletto, del quale devo presupporre in me stesso la regola prima che gli oggetti mi </w:t>
      </w:r>
      <w:proofErr w:type="spellStart"/>
      <w:r w:rsidRPr="0035073B">
        <w:rPr>
          <w:rFonts w:ascii="Times New Roman" w:hAnsi="Times New Roman" w:cs="Times New Roman"/>
          <w:i/>
          <w:sz w:val="24"/>
          <w:szCs w:val="24"/>
        </w:rPr>
        <w:t>sieno</w:t>
      </w:r>
      <w:proofErr w:type="spellEnd"/>
      <w:r w:rsidRPr="0035073B">
        <w:rPr>
          <w:rFonts w:ascii="Times New Roman" w:hAnsi="Times New Roman" w:cs="Times New Roman"/>
          <w:i/>
          <w:sz w:val="24"/>
          <w:szCs w:val="24"/>
        </w:rPr>
        <w:t xml:space="preserve"> dati, e perciò a priori; e questa regola si esprime in concetti a priori, sui quali tutti gli oggetti dell’esperienza devono necessariamente regolarsi, e coi quali devono accordarsi</w:t>
      </w:r>
      <w:r w:rsidR="003344D6" w:rsidRPr="0035073B">
        <w:rPr>
          <w:rFonts w:ascii="Times New Roman" w:hAnsi="Times New Roman" w:cs="Times New Roman"/>
          <w:sz w:val="24"/>
          <w:szCs w:val="24"/>
        </w:rPr>
        <w:t>»</w:t>
      </w:r>
      <w:r w:rsidRPr="0035073B">
        <w:rPr>
          <w:rFonts w:ascii="Times New Roman" w:hAnsi="Times New Roman" w:cs="Times New Roman"/>
          <w:sz w:val="24"/>
          <w:szCs w:val="24"/>
        </w:rPr>
        <w:t xml:space="preserve"> (Kant CRP 20,21)</w:t>
      </w:r>
      <w:r w:rsidR="003344D6">
        <w:rPr>
          <w:rFonts w:ascii="Times New Roman" w:hAnsi="Times New Roman" w:cs="Times New Roman"/>
          <w:sz w:val="24"/>
          <w:szCs w:val="24"/>
        </w:rPr>
        <w:t>.</w:t>
      </w:r>
    </w:p>
    <w:p w:rsidR="0035073B" w:rsidRPr="0035073B" w:rsidRDefault="00C56565" w:rsidP="00350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565">
        <w:rPr>
          <w:rFonts w:ascii="Times New Roman" w:hAnsi="Times New Roman" w:cs="Times New Roman"/>
          <w:b/>
          <w:sz w:val="24"/>
          <w:szCs w:val="24"/>
        </w:rPr>
        <w:t>Una soggettività universale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5073B" w:rsidRPr="0035073B">
        <w:rPr>
          <w:rFonts w:ascii="Times New Roman" w:hAnsi="Times New Roman" w:cs="Times New Roman"/>
          <w:sz w:val="24"/>
          <w:szCs w:val="24"/>
        </w:rPr>
        <w:t xml:space="preserve">Il concetto di </w:t>
      </w:r>
      <w:proofErr w:type="spellStart"/>
      <w:r w:rsidR="0035073B" w:rsidRPr="0035073B">
        <w:rPr>
          <w:rFonts w:ascii="Times New Roman" w:hAnsi="Times New Roman" w:cs="Times New Roman"/>
          <w:sz w:val="24"/>
          <w:szCs w:val="24"/>
        </w:rPr>
        <w:t>apriori</w:t>
      </w:r>
      <w:proofErr w:type="spellEnd"/>
      <w:r w:rsidR="0035073B" w:rsidRPr="0035073B">
        <w:rPr>
          <w:rFonts w:ascii="Times New Roman" w:hAnsi="Times New Roman" w:cs="Times New Roman"/>
          <w:sz w:val="24"/>
          <w:szCs w:val="24"/>
        </w:rPr>
        <w:t xml:space="preserve"> e la sua indagine trascendentale fanno accadere nella filosofia e nella cultura la dimensione della “soggettività universale”: «la nozione dello spirito come costituente trascendentale»</w:t>
      </w:r>
      <w:r w:rsidR="002B44F0">
        <w:rPr>
          <w:rFonts w:ascii="Times New Roman" w:hAnsi="Times New Roman" w:cs="Times New Roman"/>
          <w:sz w:val="24"/>
          <w:szCs w:val="24"/>
        </w:rPr>
        <w:t xml:space="preserve">. </w:t>
      </w:r>
      <w:r w:rsidR="0035073B" w:rsidRPr="0035073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5073B" w:rsidRPr="0035073B">
        <w:rPr>
          <w:rFonts w:ascii="Times New Roman" w:hAnsi="Times New Roman" w:cs="Times New Roman"/>
          <w:sz w:val="24"/>
          <w:szCs w:val="24"/>
        </w:rPr>
        <w:t>Rorty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35073B" w:rsidRPr="0035073B">
        <w:rPr>
          <w:rFonts w:ascii="Times New Roman" w:hAnsi="Times New Roman" w:cs="Times New Roman"/>
          <w:sz w:val="24"/>
          <w:szCs w:val="24"/>
        </w:rPr>
        <w:t xml:space="preserve"> Ogni soggettività è universale immediatamente e per se stessa (dal punto di vista </w:t>
      </w:r>
      <w:proofErr w:type="spellStart"/>
      <w:r w:rsidR="0035073B" w:rsidRPr="0035073B">
        <w:rPr>
          <w:rFonts w:ascii="Times New Roman" w:hAnsi="Times New Roman" w:cs="Times New Roman"/>
          <w:sz w:val="24"/>
          <w:szCs w:val="24"/>
        </w:rPr>
        <w:t>linguistico-filosofico</w:t>
      </w:r>
      <w:proofErr w:type="spellEnd"/>
      <w:r w:rsidR="0035073B" w:rsidRPr="0035073B">
        <w:rPr>
          <w:rFonts w:ascii="Times New Roman" w:hAnsi="Times New Roman" w:cs="Times New Roman"/>
          <w:sz w:val="24"/>
          <w:szCs w:val="24"/>
        </w:rPr>
        <w:t xml:space="preserve">) e non si riduce ad appartenenze particolari che definiscono gli individui </w:t>
      </w:r>
      <w:r>
        <w:rPr>
          <w:rFonts w:ascii="Times New Roman" w:hAnsi="Times New Roman" w:cs="Times New Roman"/>
          <w:sz w:val="24"/>
          <w:szCs w:val="24"/>
        </w:rPr>
        <w:t xml:space="preserve">riducendoli a </w:t>
      </w:r>
      <w:r w:rsidR="0035073B" w:rsidRPr="0035073B">
        <w:rPr>
          <w:rFonts w:ascii="Times New Roman" w:hAnsi="Times New Roman" w:cs="Times New Roman"/>
          <w:sz w:val="24"/>
          <w:szCs w:val="24"/>
        </w:rPr>
        <w:t>coordinate di appartenenza a sistemi storic</w:t>
      </w:r>
      <w:r>
        <w:rPr>
          <w:rFonts w:ascii="Times New Roman" w:hAnsi="Times New Roman" w:cs="Times New Roman"/>
          <w:sz w:val="24"/>
          <w:szCs w:val="24"/>
        </w:rPr>
        <w:t xml:space="preserve">i particolari. </w:t>
      </w:r>
    </w:p>
    <w:p w:rsidR="0035073B" w:rsidRPr="0035073B" w:rsidRDefault="00C56565" w:rsidP="0035073B">
      <w:pPr>
        <w:pStyle w:val="NormaleWeb"/>
        <w:spacing w:before="0" w:beforeAutospacing="0" w:after="0" w:afterAutospacing="0"/>
      </w:pPr>
      <w:r>
        <w:rPr>
          <w:b/>
        </w:rPr>
        <w:t>I</w:t>
      </w:r>
      <w:r w:rsidR="0035073B" w:rsidRPr="0035073B">
        <w:rPr>
          <w:b/>
        </w:rPr>
        <w:t xml:space="preserve"> tre ambiti dell’indagine trascendentale</w:t>
      </w:r>
      <w:r w:rsidR="0035073B" w:rsidRPr="0035073B">
        <w:t>: «</w:t>
      </w:r>
      <w:r w:rsidR="0035073B" w:rsidRPr="0035073B">
        <w:rPr>
          <w:i/>
        </w:rPr>
        <w:t xml:space="preserve">Ogni interesse della mia ragione (così lo speculativo, come il pratico) si concentra </w:t>
      </w:r>
      <w:r w:rsidR="0035073B" w:rsidRPr="0035073B">
        <w:rPr>
          <w:bCs/>
          <w:i/>
        </w:rPr>
        <w:t xml:space="preserve">sulle </w:t>
      </w:r>
      <w:r w:rsidR="0035073B" w:rsidRPr="0035073B">
        <w:rPr>
          <w:i/>
        </w:rPr>
        <w:t>tre domande: che cosa posso sapere? che cosa devo fare? che cosa posso sperare?</w:t>
      </w:r>
      <w:r w:rsidR="0035073B" w:rsidRPr="0035073B">
        <w:t xml:space="preserve">». Si tratta di tre direzioni di indagine critica </w:t>
      </w:r>
      <w:r w:rsidR="003344D6">
        <w:t>(</w:t>
      </w:r>
      <w:r w:rsidR="0035073B" w:rsidRPr="0035073B">
        <w:t>o delle tre “critiche”</w:t>
      </w:r>
      <w:r w:rsidR="003344D6">
        <w:t>)</w:t>
      </w:r>
      <w:r w:rsidR="0035073B" w:rsidRPr="0035073B">
        <w:t xml:space="preserve"> di tre “facoltà”: della ragione  pura (o della conoscenza, </w:t>
      </w:r>
      <w:r w:rsidR="0035073B" w:rsidRPr="0035073B">
        <w:rPr>
          <w:i/>
        </w:rPr>
        <w:t>Critica della ragion pura</w:t>
      </w:r>
      <w:r w:rsidR="0035073B" w:rsidRPr="0035073B">
        <w:t>), della volontà (</w:t>
      </w:r>
      <w:r w:rsidR="0035073B" w:rsidRPr="0035073B">
        <w:rPr>
          <w:i/>
        </w:rPr>
        <w:t>Critica della ragion pratica</w:t>
      </w:r>
      <w:r w:rsidR="0035073B" w:rsidRPr="0035073B">
        <w:t>), del sentimento (</w:t>
      </w:r>
      <w:r w:rsidR="0035073B" w:rsidRPr="0035073B">
        <w:rPr>
          <w:i/>
        </w:rPr>
        <w:t>Critica del giudizio</w:t>
      </w:r>
      <w:r w:rsidR="0035073B" w:rsidRPr="0035073B">
        <w:t>); sono i tre domini della ragione: teoretica, pratica, estetica. Si tratta di un esame preliminare alla costruzione del sapere scientifico, della conoscenza e dell’agire morale, del giudizio estetico e finalistico.</w:t>
      </w:r>
      <w:r>
        <w:t xml:space="preserve"> Tornano le tre antiche aree (non separate ma </w:t>
      </w:r>
      <w:proofErr w:type="spellStart"/>
      <w:r>
        <w:t>coestensive</w:t>
      </w:r>
      <w:proofErr w:type="spellEnd"/>
      <w:r w:rsidR="00F224C3">
        <w:t xml:space="preserve"> e</w:t>
      </w:r>
      <w:r w:rsidR="00903491">
        <w:t xml:space="preserve"> attive contemporaneamente</w:t>
      </w:r>
      <w:r>
        <w:t>)</w:t>
      </w:r>
      <w:r w:rsidR="00903491">
        <w:t>:</w:t>
      </w:r>
      <w:r>
        <w:t xml:space="preserve"> </w:t>
      </w:r>
      <w:proofErr w:type="spellStart"/>
      <w:r w:rsidR="0035073B" w:rsidRPr="00903491">
        <w:rPr>
          <w:b/>
        </w:rPr>
        <w:t>lògos</w:t>
      </w:r>
      <w:proofErr w:type="spellEnd"/>
      <w:r w:rsidR="0035073B" w:rsidRPr="0035073B">
        <w:t xml:space="preserve">, </w:t>
      </w:r>
      <w:r w:rsidR="0035073B" w:rsidRPr="00903491">
        <w:rPr>
          <w:b/>
        </w:rPr>
        <w:t>éthos</w:t>
      </w:r>
      <w:r w:rsidR="0035073B" w:rsidRPr="0035073B">
        <w:t xml:space="preserve">, </w:t>
      </w:r>
      <w:proofErr w:type="spellStart"/>
      <w:r w:rsidR="0035073B" w:rsidRPr="00903491">
        <w:rPr>
          <w:b/>
        </w:rPr>
        <w:t>pàthos</w:t>
      </w:r>
      <w:proofErr w:type="spellEnd"/>
      <w:r w:rsidR="0035073B" w:rsidRPr="0035073B">
        <w:t xml:space="preserve">.  </w:t>
      </w:r>
    </w:p>
    <w:sectPr w:rsidR="0035073B" w:rsidRPr="0035073B" w:rsidSect="004751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AB7675"/>
    <w:rsid w:val="000347C2"/>
    <w:rsid w:val="0004353E"/>
    <w:rsid w:val="0008039F"/>
    <w:rsid w:val="000F42C0"/>
    <w:rsid w:val="00100490"/>
    <w:rsid w:val="001B6E41"/>
    <w:rsid w:val="00213E12"/>
    <w:rsid w:val="00247B24"/>
    <w:rsid w:val="00270286"/>
    <w:rsid w:val="0027739B"/>
    <w:rsid w:val="00277A2A"/>
    <w:rsid w:val="002B44F0"/>
    <w:rsid w:val="002B514E"/>
    <w:rsid w:val="003344D6"/>
    <w:rsid w:val="0035073B"/>
    <w:rsid w:val="004042C9"/>
    <w:rsid w:val="004603E5"/>
    <w:rsid w:val="004745FC"/>
    <w:rsid w:val="004751CD"/>
    <w:rsid w:val="00517FB0"/>
    <w:rsid w:val="00561DB7"/>
    <w:rsid w:val="005D65E4"/>
    <w:rsid w:val="005D6A0A"/>
    <w:rsid w:val="00602EEA"/>
    <w:rsid w:val="00612796"/>
    <w:rsid w:val="00636280"/>
    <w:rsid w:val="00651773"/>
    <w:rsid w:val="0065214A"/>
    <w:rsid w:val="00653561"/>
    <w:rsid w:val="00670DDD"/>
    <w:rsid w:val="006E4A77"/>
    <w:rsid w:val="007173FD"/>
    <w:rsid w:val="00762513"/>
    <w:rsid w:val="00771E25"/>
    <w:rsid w:val="007F3409"/>
    <w:rsid w:val="0081433A"/>
    <w:rsid w:val="00815611"/>
    <w:rsid w:val="00863739"/>
    <w:rsid w:val="0089273A"/>
    <w:rsid w:val="008A2275"/>
    <w:rsid w:val="008B43DC"/>
    <w:rsid w:val="008D0604"/>
    <w:rsid w:val="008D2D24"/>
    <w:rsid w:val="00903491"/>
    <w:rsid w:val="00911FBB"/>
    <w:rsid w:val="009A437E"/>
    <w:rsid w:val="009A6422"/>
    <w:rsid w:val="009D26CD"/>
    <w:rsid w:val="009E355E"/>
    <w:rsid w:val="00A12F4C"/>
    <w:rsid w:val="00A63BF5"/>
    <w:rsid w:val="00A769B7"/>
    <w:rsid w:val="00AB7675"/>
    <w:rsid w:val="00BD6441"/>
    <w:rsid w:val="00C06FF8"/>
    <w:rsid w:val="00C162F0"/>
    <w:rsid w:val="00C56565"/>
    <w:rsid w:val="00C73115"/>
    <w:rsid w:val="00C87284"/>
    <w:rsid w:val="00CE22E2"/>
    <w:rsid w:val="00D27CBF"/>
    <w:rsid w:val="00D45952"/>
    <w:rsid w:val="00D81B86"/>
    <w:rsid w:val="00E25AE4"/>
    <w:rsid w:val="00EA64D8"/>
    <w:rsid w:val="00EB43FE"/>
    <w:rsid w:val="00ED00A5"/>
    <w:rsid w:val="00F224C3"/>
    <w:rsid w:val="00F66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51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AB7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Pre-installer</dc:creator>
  <cp:lastModifiedBy>Pre-installer</cp:lastModifiedBy>
  <cp:revision>8</cp:revision>
  <dcterms:created xsi:type="dcterms:W3CDTF">2022-07-09T04:42:00Z</dcterms:created>
  <dcterms:modified xsi:type="dcterms:W3CDTF">2023-04-05T06:55:00Z</dcterms:modified>
</cp:coreProperties>
</file>