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9157" w14:textId="77777777" w:rsidR="00882273" w:rsidRDefault="000558DF">
      <w:pPr>
        <w:pStyle w:val="Intestazione"/>
        <w:spacing w:after="40"/>
        <w:rPr>
          <w:b/>
          <w:bCs/>
          <w:sz w:val="44"/>
        </w:rPr>
      </w:pPr>
      <w:r>
        <w:rPr>
          <w:noProof/>
        </w:rPr>
        <w:drawing>
          <wp:anchor distT="0" distB="0" distL="114300" distR="114300" simplePos="0" relativeHeight="2" behindDoc="0" locked="0" layoutInCell="0" allowOverlap="1" wp14:anchorId="4A1A9011" wp14:editId="7815C0CD">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36"/>
        </w:rPr>
        <w:t xml:space="preserve">TERZA UNIVERSITÀ - </w:t>
      </w:r>
      <w:r>
        <w:rPr>
          <w:b/>
          <w:bCs/>
          <w:sz w:val="44"/>
        </w:rPr>
        <w:t xml:space="preserve"> 2024/25</w:t>
      </w:r>
    </w:p>
    <w:p w14:paraId="3CF8789F" w14:textId="77777777" w:rsidR="00882273" w:rsidRDefault="000558DF">
      <w:pPr>
        <w:pStyle w:val="Intestazione"/>
        <w:rPr>
          <w:b/>
          <w:bCs/>
          <w:color w:val="00B050"/>
          <w:sz w:val="24"/>
        </w:rPr>
      </w:pPr>
      <w:r>
        <w:rPr>
          <w:color w:val="00B050"/>
        </w:rPr>
        <w:t xml:space="preserve">                                                           Provincia -</w:t>
      </w:r>
      <w:r>
        <w:rPr>
          <w:b/>
          <w:color w:val="00B050"/>
        </w:rPr>
        <w:t xml:space="preserve"> </w:t>
      </w:r>
      <w:r>
        <w:rPr>
          <w:b/>
          <w:bCs/>
          <w:color w:val="00B050"/>
          <w:sz w:val="24"/>
        </w:rPr>
        <w:t>PRIMA FASE</w:t>
      </w:r>
    </w:p>
    <w:p w14:paraId="23383737" w14:textId="77777777" w:rsidR="00882273" w:rsidRDefault="00882273">
      <w:pPr>
        <w:rPr>
          <w:sz w:val="20"/>
          <w:szCs w:val="20"/>
        </w:rPr>
      </w:pPr>
    </w:p>
    <w:p w14:paraId="3EAB0F73" w14:textId="77777777" w:rsidR="00882273" w:rsidRDefault="000558DF">
      <w:pPr>
        <w:pStyle w:val="Standard"/>
        <w:jc w:val="center"/>
        <w:rPr>
          <w:rFonts w:ascii="Arial" w:hAnsi="Arial" w:cs="Arial"/>
          <w:b/>
          <w:bCs/>
          <w:iCs/>
        </w:rPr>
      </w:pPr>
      <w:r>
        <w:rPr>
          <w:rFonts w:ascii="Arial" w:hAnsi="Arial" w:cs="Arial"/>
          <w:b/>
          <w:bCs/>
          <w:iCs/>
        </w:rPr>
        <w:t>TREVIGLIO</w:t>
      </w:r>
    </w:p>
    <w:p w14:paraId="437C79C8" w14:textId="77777777" w:rsidR="00882273" w:rsidRDefault="000558DF">
      <w:pPr>
        <w:pStyle w:val="Standard"/>
        <w:jc w:val="both"/>
      </w:pPr>
      <w:r>
        <w:rPr>
          <w:rFonts w:ascii="Arial" w:hAnsi="Arial" w:cs="Arial"/>
          <w:b/>
          <w:bCs/>
          <w:iCs/>
          <w:sz w:val="18"/>
          <w:szCs w:val="18"/>
        </w:rPr>
        <w:t xml:space="preserve">Referente: </w:t>
      </w:r>
      <w:r>
        <w:rPr>
          <w:rFonts w:ascii="Arial" w:hAnsi="Arial" w:cs="Arial"/>
          <w:bCs/>
          <w:iCs/>
          <w:sz w:val="18"/>
          <w:szCs w:val="18"/>
        </w:rPr>
        <w:t>Maria Reduzzi tel. 353.4399688</w:t>
      </w:r>
      <w:r>
        <w:t xml:space="preserve">; </w:t>
      </w:r>
      <w:r>
        <w:rPr>
          <w:rFonts w:ascii="Arial" w:hAnsi="Arial" w:cs="Arial"/>
          <w:b/>
          <w:bCs/>
          <w:iCs/>
          <w:sz w:val="18"/>
          <w:szCs w:val="18"/>
        </w:rPr>
        <w:t>Iscrizioni e informazioni</w:t>
      </w:r>
      <w:r>
        <w:rPr>
          <w:rFonts w:ascii="Arial" w:hAnsi="Arial" w:cs="Arial"/>
          <w:bCs/>
          <w:iCs/>
          <w:sz w:val="18"/>
          <w:szCs w:val="18"/>
        </w:rPr>
        <w:t xml:space="preserve">: SPI CGIL, via Cesare Battisti 43/b, tel. </w:t>
      </w:r>
      <w:r>
        <w:rPr>
          <w:rFonts w:ascii="Arial" w:hAnsi="Arial" w:cs="Arial"/>
          <w:bCs/>
          <w:iCs/>
          <w:sz w:val="18"/>
          <w:szCs w:val="18"/>
        </w:rPr>
        <w:t>035.3594450, martedì pomeriggio dalle 14,30 alle 16,30 sino all'1 ottobre (inizio dei corsi) e venerdì dalle ore 10 alle-12. e dalle 14,30 alle 16,30 a partire dal 21 giugno</w:t>
      </w:r>
    </w:p>
    <w:tbl>
      <w:tblPr>
        <w:tblW w:w="9634" w:type="dxa"/>
        <w:tblLayout w:type="fixed"/>
        <w:tblLook w:val="00A0" w:firstRow="1" w:lastRow="0" w:firstColumn="1" w:lastColumn="0" w:noHBand="0" w:noVBand="0"/>
      </w:tblPr>
      <w:tblGrid>
        <w:gridCol w:w="1678"/>
        <w:gridCol w:w="1094"/>
        <w:gridCol w:w="6862"/>
      </w:tblGrid>
      <w:tr w:rsidR="00882273" w14:paraId="6650D6C7" w14:textId="77777777">
        <w:trPr>
          <w:trHeight w:val="830"/>
        </w:trPr>
        <w:tc>
          <w:tcPr>
            <w:tcW w:w="1678" w:type="dxa"/>
            <w:tcBorders>
              <w:top w:val="single" w:sz="4" w:space="0" w:color="000000"/>
              <w:left w:val="single" w:sz="4" w:space="0" w:color="000000"/>
              <w:bottom w:val="single" w:sz="4" w:space="0" w:color="000000"/>
            </w:tcBorders>
            <w:vAlign w:val="center"/>
          </w:tcPr>
          <w:p w14:paraId="1958C0AE" w14:textId="77777777" w:rsidR="00882273" w:rsidRDefault="000558DF">
            <w:pPr>
              <w:jc w:val="center"/>
              <w:rPr>
                <w:szCs w:val="28"/>
              </w:rPr>
            </w:pPr>
            <w:r>
              <w:rPr>
                <w:szCs w:val="28"/>
              </w:rPr>
              <w:t>Modulo  n°</w:t>
            </w:r>
          </w:p>
        </w:tc>
        <w:tc>
          <w:tcPr>
            <w:tcW w:w="1094" w:type="dxa"/>
            <w:tcBorders>
              <w:top w:val="single" w:sz="4" w:space="0" w:color="000000"/>
              <w:bottom w:val="single" w:sz="4" w:space="0" w:color="000000"/>
            </w:tcBorders>
            <w:vAlign w:val="center"/>
          </w:tcPr>
          <w:p w14:paraId="7CE49093" w14:textId="77777777" w:rsidR="00882273" w:rsidRDefault="000558DF">
            <w:pPr>
              <w:jc w:val="center"/>
              <w:rPr>
                <w:b/>
                <w:sz w:val="40"/>
                <w:szCs w:val="40"/>
              </w:rPr>
            </w:pPr>
            <w:r>
              <w:rPr>
                <w:b/>
                <w:sz w:val="40"/>
                <w:szCs w:val="40"/>
              </w:rPr>
              <w:t>126</w:t>
            </w:r>
          </w:p>
        </w:tc>
        <w:tc>
          <w:tcPr>
            <w:tcW w:w="6862" w:type="dxa"/>
            <w:tcBorders>
              <w:top w:val="single" w:sz="4" w:space="0" w:color="000000"/>
              <w:bottom w:val="single" w:sz="4" w:space="0" w:color="000000"/>
              <w:right w:val="single" w:sz="4" w:space="0" w:color="000000"/>
            </w:tcBorders>
            <w:vAlign w:val="center"/>
          </w:tcPr>
          <w:p w14:paraId="678B4E89" w14:textId="77777777" w:rsidR="00882273" w:rsidRDefault="000558DF">
            <w:pPr>
              <w:pStyle w:val="Standard"/>
              <w:jc w:val="center"/>
              <w:rPr>
                <w:i/>
                <w:sz w:val="32"/>
                <w:szCs w:val="32"/>
              </w:rPr>
            </w:pPr>
            <w:r>
              <w:rPr>
                <w:rFonts w:ascii="Arial" w:hAnsi="Arial" w:cs="Arial"/>
                <w:b/>
                <w:bCs/>
                <w:i/>
                <w:sz w:val="32"/>
                <w:szCs w:val="32"/>
              </w:rPr>
              <w:t>RITORNO ALL’ORDINE, MA NON TROPPO</w:t>
            </w:r>
            <w:r>
              <w:rPr>
                <w:rFonts w:ascii="Arial" w:hAnsi="Arial" w:cs="Arial"/>
                <w:bCs/>
                <w:i/>
                <w:sz w:val="32"/>
                <w:szCs w:val="32"/>
              </w:rPr>
              <w:t>…</w:t>
            </w:r>
          </w:p>
        </w:tc>
      </w:tr>
    </w:tbl>
    <w:p w14:paraId="464C778B" w14:textId="77777777" w:rsidR="00882273" w:rsidRDefault="00882273">
      <w:pPr>
        <w:rPr>
          <w:sz w:val="22"/>
          <w:szCs w:val="22"/>
        </w:rPr>
      </w:pPr>
    </w:p>
    <w:tbl>
      <w:tblPr>
        <w:tblW w:w="9638" w:type="dxa"/>
        <w:tblLayout w:type="fixed"/>
        <w:tblLook w:val="00A0" w:firstRow="1" w:lastRow="0" w:firstColumn="1" w:lastColumn="0" w:noHBand="0" w:noVBand="0"/>
      </w:tblPr>
      <w:tblGrid>
        <w:gridCol w:w="1728"/>
        <w:gridCol w:w="7910"/>
      </w:tblGrid>
      <w:tr w:rsidR="00882273" w14:paraId="48F7F28F" w14:textId="77777777">
        <w:trPr>
          <w:trHeight w:val="340"/>
        </w:trPr>
        <w:tc>
          <w:tcPr>
            <w:tcW w:w="1728" w:type="dxa"/>
            <w:vAlign w:val="center"/>
          </w:tcPr>
          <w:p w14:paraId="7E92F4DF" w14:textId="77777777" w:rsidR="00882273" w:rsidRDefault="000558DF">
            <w:pPr>
              <w:spacing w:line="360" w:lineRule="auto"/>
              <w:rPr>
                <w:b/>
                <w:sz w:val="22"/>
                <w:szCs w:val="22"/>
              </w:rPr>
            </w:pPr>
            <w:r>
              <w:rPr>
                <w:b/>
                <w:sz w:val="22"/>
                <w:szCs w:val="22"/>
              </w:rPr>
              <w:t>Docente</w:t>
            </w:r>
          </w:p>
        </w:tc>
        <w:tc>
          <w:tcPr>
            <w:tcW w:w="7909" w:type="dxa"/>
            <w:vAlign w:val="center"/>
          </w:tcPr>
          <w:p w14:paraId="66C905FF" w14:textId="77777777" w:rsidR="00882273" w:rsidRDefault="000558DF">
            <w:pPr>
              <w:pStyle w:val="Standard"/>
              <w:rPr>
                <w:rFonts w:ascii="Arial" w:hAnsi="Arial" w:cs="Arial"/>
                <w:b/>
                <w:iCs/>
                <w:sz w:val="22"/>
                <w:szCs w:val="22"/>
              </w:rPr>
            </w:pPr>
            <w:r>
              <w:rPr>
                <w:rFonts w:ascii="Arial" w:hAnsi="Arial" w:cs="Arial"/>
                <w:b/>
                <w:iCs/>
                <w:sz w:val="22"/>
                <w:szCs w:val="22"/>
              </w:rPr>
              <w:t xml:space="preserve">Pinuccia </w:t>
            </w:r>
            <w:r>
              <w:rPr>
                <w:rFonts w:ascii="Arial" w:hAnsi="Arial" w:cs="Arial"/>
                <w:b/>
                <w:iCs/>
                <w:sz w:val="22"/>
                <w:szCs w:val="22"/>
              </w:rPr>
              <w:t>D’Agostino</w:t>
            </w:r>
          </w:p>
        </w:tc>
      </w:tr>
      <w:tr w:rsidR="00882273" w14:paraId="6AB16149" w14:textId="77777777">
        <w:trPr>
          <w:trHeight w:val="340"/>
        </w:trPr>
        <w:tc>
          <w:tcPr>
            <w:tcW w:w="1728" w:type="dxa"/>
            <w:vAlign w:val="center"/>
          </w:tcPr>
          <w:p w14:paraId="6B213981" w14:textId="77777777" w:rsidR="00882273" w:rsidRDefault="000558DF">
            <w:pPr>
              <w:spacing w:line="360" w:lineRule="auto"/>
              <w:rPr>
                <w:b/>
                <w:sz w:val="22"/>
                <w:szCs w:val="22"/>
              </w:rPr>
            </w:pPr>
            <w:r>
              <w:rPr>
                <w:b/>
                <w:sz w:val="22"/>
                <w:szCs w:val="22"/>
              </w:rPr>
              <w:t>Giorno</w:t>
            </w:r>
          </w:p>
        </w:tc>
        <w:tc>
          <w:tcPr>
            <w:tcW w:w="7909" w:type="dxa"/>
            <w:vAlign w:val="center"/>
          </w:tcPr>
          <w:p w14:paraId="74A7F6BB" w14:textId="77777777" w:rsidR="00882273" w:rsidRDefault="000558DF">
            <w:pPr>
              <w:rPr>
                <w:sz w:val="22"/>
                <w:szCs w:val="22"/>
              </w:rPr>
            </w:pPr>
            <w:r>
              <w:rPr>
                <w:rFonts w:cs="Arial"/>
                <w:bCs/>
                <w:iCs/>
                <w:sz w:val="22"/>
                <w:szCs w:val="22"/>
              </w:rPr>
              <w:t>Martedì</w:t>
            </w:r>
          </w:p>
        </w:tc>
      </w:tr>
      <w:tr w:rsidR="00882273" w14:paraId="1FAB0A79" w14:textId="77777777">
        <w:trPr>
          <w:trHeight w:val="340"/>
        </w:trPr>
        <w:tc>
          <w:tcPr>
            <w:tcW w:w="1728" w:type="dxa"/>
            <w:vAlign w:val="center"/>
          </w:tcPr>
          <w:p w14:paraId="31EE2961" w14:textId="77777777" w:rsidR="00882273" w:rsidRDefault="000558DF">
            <w:pPr>
              <w:spacing w:line="360" w:lineRule="auto"/>
              <w:rPr>
                <w:b/>
                <w:sz w:val="22"/>
                <w:szCs w:val="22"/>
              </w:rPr>
            </w:pPr>
            <w:r>
              <w:rPr>
                <w:b/>
                <w:sz w:val="22"/>
                <w:szCs w:val="22"/>
              </w:rPr>
              <w:t>Orario</w:t>
            </w:r>
          </w:p>
        </w:tc>
        <w:tc>
          <w:tcPr>
            <w:tcW w:w="7909" w:type="dxa"/>
            <w:vAlign w:val="center"/>
          </w:tcPr>
          <w:p w14:paraId="18B62B62" w14:textId="77777777" w:rsidR="00882273" w:rsidRDefault="000558DF">
            <w:pPr>
              <w:rPr>
                <w:sz w:val="22"/>
                <w:szCs w:val="22"/>
              </w:rPr>
            </w:pPr>
            <w:r>
              <w:rPr>
                <w:sz w:val="22"/>
                <w:szCs w:val="22"/>
              </w:rPr>
              <w:t>15.00-17.15</w:t>
            </w:r>
          </w:p>
        </w:tc>
      </w:tr>
      <w:tr w:rsidR="00882273" w14:paraId="2602FCC7" w14:textId="77777777">
        <w:trPr>
          <w:trHeight w:val="340"/>
        </w:trPr>
        <w:tc>
          <w:tcPr>
            <w:tcW w:w="1728" w:type="dxa"/>
            <w:vAlign w:val="center"/>
          </w:tcPr>
          <w:p w14:paraId="7FBD7C73" w14:textId="77777777" w:rsidR="00882273" w:rsidRDefault="000558DF">
            <w:pPr>
              <w:spacing w:line="360" w:lineRule="auto"/>
              <w:rPr>
                <w:b/>
                <w:sz w:val="22"/>
                <w:szCs w:val="22"/>
              </w:rPr>
            </w:pPr>
            <w:r>
              <w:rPr>
                <w:b/>
                <w:sz w:val="22"/>
                <w:szCs w:val="22"/>
              </w:rPr>
              <w:t>Periodo</w:t>
            </w:r>
          </w:p>
        </w:tc>
        <w:tc>
          <w:tcPr>
            <w:tcW w:w="7909" w:type="dxa"/>
            <w:vAlign w:val="center"/>
          </w:tcPr>
          <w:p w14:paraId="235C4655" w14:textId="77777777" w:rsidR="00882273" w:rsidRDefault="000558DF">
            <w:pPr>
              <w:pStyle w:val="Standard"/>
              <w:rPr>
                <w:rFonts w:ascii="Arial" w:hAnsi="Arial" w:cs="Arial"/>
                <w:bCs/>
                <w:iCs/>
                <w:sz w:val="22"/>
                <w:szCs w:val="22"/>
              </w:rPr>
            </w:pPr>
            <w:r>
              <w:rPr>
                <w:rFonts w:ascii="Arial" w:hAnsi="Arial" w:cs="Arial"/>
                <w:bCs/>
                <w:iCs/>
                <w:sz w:val="22"/>
                <w:szCs w:val="22"/>
              </w:rPr>
              <w:t>Dall’8 ottobre al 26 novembre 2024 (8 incontri - € 32,00)</w:t>
            </w:r>
            <w:r>
              <w:rPr>
                <w:sz w:val="22"/>
                <w:szCs w:val="22"/>
              </w:rPr>
              <w:t xml:space="preserve"> </w:t>
            </w:r>
          </w:p>
        </w:tc>
      </w:tr>
      <w:tr w:rsidR="00882273" w14:paraId="15FADDB4" w14:textId="77777777">
        <w:trPr>
          <w:trHeight w:val="340"/>
        </w:trPr>
        <w:tc>
          <w:tcPr>
            <w:tcW w:w="1728" w:type="dxa"/>
            <w:vAlign w:val="center"/>
          </w:tcPr>
          <w:p w14:paraId="5BA82639" w14:textId="77777777" w:rsidR="00882273" w:rsidRDefault="000558DF">
            <w:pPr>
              <w:spacing w:line="360" w:lineRule="auto"/>
              <w:rPr>
                <w:b/>
                <w:sz w:val="22"/>
                <w:szCs w:val="22"/>
              </w:rPr>
            </w:pPr>
            <w:r>
              <w:rPr>
                <w:b/>
                <w:sz w:val="22"/>
                <w:szCs w:val="22"/>
              </w:rPr>
              <w:t>Sede</w:t>
            </w:r>
          </w:p>
        </w:tc>
        <w:tc>
          <w:tcPr>
            <w:tcW w:w="7909" w:type="dxa"/>
            <w:vAlign w:val="center"/>
          </w:tcPr>
          <w:p w14:paraId="5CCF40EE" w14:textId="77777777" w:rsidR="00882273" w:rsidRDefault="000558DF">
            <w:pPr>
              <w:jc w:val="both"/>
              <w:rPr>
                <w:sz w:val="22"/>
                <w:szCs w:val="22"/>
              </w:rPr>
            </w:pPr>
            <w:r>
              <w:rPr>
                <w:rFonts w:cs="Arial"/>
                <w:bCs/>
                <w:iCs/>
                <w:sz w:val="22"/>
                <w:szCs w:val="22"/>
              </w:rPr>
              <w:t>Sala conferenze Auser, via Merisio 6</w:t>
            </w:r>
          </w:p>
        </w:tc>
      </w:tr>
      <w:tr w:rsidR="00882273" w14:paraId="72F46DD7" w14:textId="77777777">
        <w:trPr>
          <w:trHeight w:val="312"/>
        </w:trPr>
        <w:tc>
          <w:tcPr>
            <w:tcW w:w="1728" w:type="dxa"/>
            <w:vAlign w:val="center"/>
          </w:tcPr>
          <w:p w14:paraId="541803CD" w14:textId="77777777" w:rsidR="00882273" w:rsidRDefault="000558DF">
            <w:pPr>
              <w:spacing w:line="360" w:lineRule="auto"/>
              <w:rPr>
                <w:b/>
                <w:sz w:val="22"/>
                <w:szCs w:val="22"/>
              </w:rPr>
            </w:pPr>
            <w:r>
              <w:rPr>
                <w:b/>
                <w:sz w:val="22"/>
                <w:szCs w:val="22"/>
              </w:rPr>
              <w:t>Argomento</w:t>
            </w:r>
          </w:p>
        </w:tc>
        <w:tc>
          <w:tcPr>
            <w:tcW w:w="7909" w:type="dxa"/>
            <w:vAlign w:val="center"/>
          </w:tcPr>
          <w:p w14:paraId="3856BF44" w14:textId="77777777" w:rsidR="00882273" w:rsidRDefault="000558DF">
            <w:pPr>
              <w:pStyle w:val="Standard"/>
              <w:rPr>
                <w:rFonts w:ascii="Arial" w:hAnsi="Arial" w:cs="Arial"/>
                <w:b/>
                <w:iCs/>
                <w:sz w:val="22"/>
                <w:szCs w:val="22"/>
              </w:rPr>
            </w:pPr>
            <w:r>
              <w:rPr>
                <w:rFonts w:ascii="Arial" w:hAnsi="Arial" w:cs="Arial"/>
                <w:b/>
                <w:iCs/>
                <w:sz w:val="22"/>
                <w:szCs w:val="22"/>
              </w:rPr>
              <w:t>STORIA DELL’ARTE</w:t>
            </w:r>
          </w:p>
        </w:tc>
      </w:tr>
      <w:tr w:rsidR="00882273" w14:paraId="654FF7DE" w14:textId="77777777">
        <w:trPr>
          <w:trHeight w:val="1192"/>
        </w:trPr>
        <w:tc>
          <w:tcPr>
            <w:tcW w:w="1728" w:type="dxa"/>
            <w:vAlign w:val="center"/>
          </w:tcPr>
          <w:p w14:paraId="2626BEA7" w14:textId="77777777" w:rsidR="00882273" w:rsidRDefault="000558DF">
            <w:pPr>
              <w:rPr>
                <w:b/>
                <w:sz w:val="22"/>
                <w:szCs w:val="22"/>
              </w:rPr>
            </w:pPr>
            <w:r>
              <w:rPr>
                <w:b/>
                <w:sz w:val="22"/>
                <w:szCs w:val="22"/>
              </w:rPr>
              <w:t>Presentazione</w:t>
            </w:r>
          </w:p>
        </w:tc>
        <w:tc>
          <w:tcPr>
            <w:tcW w:w="7909" w:type="dxa"/>
            <w:vAlign w:val="center"/>
          </w:tcPr>
          <w:p w14:paraId="376CD5B9" w14:textId="77777777" w:rsidR="00882273" w:rsidRDefault="000558DF">
            <w:pPr>
              <w:pStyle w:val="Standard"/>
              <w:jc w:val="both"/>
              <w:rPr>
                <w:i/>
                <w:sz w:val="22"/>
                <w:szCs w:val="22"/>
              </w:rPr>
            </w:pPr>
            <w:r>
              <w:rPr>
                <w:rFonts w:ascii="Arial" w:hAnsi="Arial" w:cs="Arial"/>
                <w:bCs/>
                <w:i/>
                <w:sz w:val="22"/>
                <w:szCs w:val="22"/>
              </w:rPr>
              <w:t xml:space="preserve">Evoluzione ed involuzione dell'arte e della </w:t>
            </w:r>
            <w:r>
              <w:rPr>
                <w:rFonts w:ascii="Arial" w:hAnsi="Arial" w:cs="Arial"/>
                <w:bCs/>
                <w:i/>
                <w:sz w:val="22"/>
                <w:szCs w:val="22"/>
              </w:rPr>
              <w:t>letteratura (poesia, narrativa, teatro, cinema) nel periodo che va dagli anni 30 alla Seconda guerra mondiale compresa, in Italia e in Europa, va sotto il nome di Novecento italiano. Gli artisti</w:t>
            </w:r>
            <w:bookmarkStart w:id="0" w:name="Bookmark13"/>
            <w:bookmarkEnd w:id="0"/>
            <w:r>
              <w:rPr>
                <w:rFonts w:ascii="Arial" w:hAnsi="Arial" w:cs="Arial"/>
                <w:bCs/>
                <w:i/>
                <w:sz w:val="22"/>
                <w:szCs w:val="22"/>
              </w:rPr>
              <w:t xml:space="preserve"> di questo movimento provenivano da esperienze e correnti differenti, ma legate da un senso comune di "ritorno all'ordine" nell'arte dopo le sperimentazioni avanguardiste del primo Novecento; il Novecento torna quindi ad avere come supremo riferimento l'antichità classica, la purezza delle forme e l'armonia nella com</w:t>
            </w:r>
            <w:r>
              <w:rPr>
                <w:rFonts w:ascii="Arial" w:hAnsi="Arial" w:cs="Arial"/>
                <w:bCs/>
                <w:i/>
                <w:sz w:val="22"/>
                <w:szCs w:val="22"/>
              </w:rPr>
              <w:t>posizione. Oltre alle arti figurative, il movimento Novecento ebbe negli stessi anni degli sviluppi anche in letteratura. Ma il “ritorno all'ordine” segnò anche altri artisti che si muovevano in dimensioni linguistiche diverse sia rispetto alle avanguardie europee che all'arte cosiddetta classica. Questi artisti e letterati, vissuti all'ombra, non influenzati dalla politica, diedero vita ad un'arte estremamente rigorosa e seria che contribuirà non poco alla ripresa della cultura italiana nell'immediato seco</w:t>
            </w:r>
            <w:r>
              <w:rPr>
                <w:rFonts w:ascii="Arial" w:hAnsi="Arial" w:cs="Arial"/>
                <w:bCs/>
                <w:i/>
                <w:sz w:val="22"/>
                <w:szCs w:val="22"/>
              </w:rPr>
              <w:t>ndo dopoguerra.</w:t>
            </w:r>
          </w:p>
        </w:tc>
      </w:tr>
    </w:tbl>
    <w:p w14:paraId="31C31EB9" w14:textId="77777777" w:rsidR="00882273" w:rsidRDefault="000558DF">
      <w:pPr>
        <w:rPr>
          <w:b/>
          <w:sz w:val="24"/>
        </w:rPr>
      </w:pPr>
      <w:r>
        <w:rPr>
          <w:b/>
          <w:sz w:val="24"/>
        </w:rPr>
        <w:t xml:space="preserve">Calendario  </w:t>
      </w: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882273" w14:paraId="3BF13957" w14:textId="77777777">
        <w:trPr>
          <w:trHeight w:val="564"/>
        </w:trPr>
        <w:tc>
          <w:tcPr>
            <w:tcW w:w="385" w:type="dxa"/>
            <w:vAlign w:val="center"/>
          </w:tcPr>
          <w:p w14:paraId="7B56484F" w14:textId="77777777" w:rsidR="00882273" w:rsidRDefault="000558DF">
            <w:pPr>
              <w:jc w:val="center"/>
              <w:rPr>
                <w:rFonts w:cs="Arial"/>
                <w:b/>
                <w:bCs/>
                <w:sz w:val="22"/>
                <w:szCs w:val="22"/>
              </w:rPr>
            </w:pPr>
            <w:r>
              <w:rPr>
                <w:rFonts w:cs="Arial"/>
                <w:b/>
                <w:bCs/>
                <w:sz w:val="22"/>
                <w:szCs w:val="22"/>
              </w:rPr>
              <w:t>1</w:t>
            </w:r>
          </w:p>
        </w:tc>
        <w:tc>
          <w:tcPr>
            <w:tcW w:w="1638" w:type="dxa"/>
            <w:vAlign w:val="center"/>
          </w:tcPr>
          <w:p w14:paraId="38210858" w14:textId="77777777" w:rsidR="00882273" w:rsidRDefault="000558DF">
            <w:pPr>
              <w:ind w:left="57"/>
              <w:jc w:val="center"/>
              <w:rPr>
                <w:sz w:val="22"/>
                <w:szCs w:val="22"/>
              </w:rPr>
            </w:pPr>
            <w:r>
              <w:rPr>
                <w:sz w:val="22"/>
                <w:szCs w:val="22"/>
              </w:rPr>
              <w:t>08.10.2024</w:t>
            </w:r>
          </w:p>
        </w:tc>
        <w:tc>
          <w:tcPr>
            <w:tcW w:w="7488" w:type="dxa"/>
            <w:vAlign w:val="center"/>
          </w:tcPr>
          <w:p w14:paraId="6649E55E" w14:textId="77777777" w:rsidR="00882273" w:rsidRDefault="000558DF">
            <w:pPr>
              <w:rPr>
                <w:rFonts w:cs="Arial"/>
                <w:sz w:val="22"/>
                <w:szCs w:val="22"/>
              </w:rPr>
            </w:pPr>
            <w:r>
              <w:rPr>
                <w:rFonts w:cs="Arial"/>
                <w:sz w:val="22"/>
                <w:szCs w:val="22"/>
              </w:rPr>
              <w:t xml:space="preserve">La fine della grande guerra e il disorientamento degli artisti e dei letterati. Gli anni ’20 tra sperimentalismi ed esigenze di un ritorno all’ordine, ad un’arte e ad una letteratura più rigorosa nei </w:t>
            </w:r>
            <w:r>
              <w:rPr>
                <w:rFonts w:cs="Arial"/>
                <w:sz w:val="22"/>
                <w:szCs w:val="22"/>
              </w:rPr>
              <w:t>contenuti e nelle finalità.</w:t>
            </w:r>
          </w:p>
        </w:tc>
      </w:tr>
      <w:tr w:rsidR="00882273" w14:paraId="54C7733F" w14:textId="77777777">
        <w:trPr>
          <w:trHeight w:val="567"/>
        </w:trPr>
        <w:tc>
          <w:tcPr>
            <w:tcW w:w="385" w:type="dxa"/>
            <w:vAlign w:val="center"/>
          </w:tcPr>
          <w:p w14:paraId="3031918D" w14:textId="77777777" w:rsidR="00882273" w:rsidRDefault="000558DF">
            <w:pPr>
              <w:jc w:val="center"/>
              <w:rPr>
                <w:rFonts w:cs="Arial"/>
                <w:b/>
                <w:bCs/>
                <w:sz w:val="22"/>
                <w:szCs w:val="22"/>
              </w:rPr>
            </w:pPr>
            <w:r>
              <w:rPr>
                <w:rFonts w:cs="Arial"/>
                <w:b/>
                <w:bCs/>
                <w:sz w:val="22"/>
                <w:szCs w:val="22"/>
              </w:rPr>
              <w:t>2</w:t>
            </w:r>
          </w:p>
        </w:tc>
        <w:tc>
          <w:tcPr>
            <w:tcW w:w="1638" w:type="dxa"/>
            <w:vAlign w:val="center"/>
          </w:tcPr>
          <w:p w14:paraId="78A9AAFB" w14:textId="77777777" w:rsidR="00882273" w:rsidRDefault="000558DF">
            <w:pPr>
              <w:ind w:left="57"/>
              <w:jc w:val="center"/>
              <w:rPr>
                <w:sz w:val="22"/>
                <w:szCs w:val="22"/>
              </w:rPr>
            </w:pPr>
            <w:r>
              <w:rPr>
                <w:sz w:val="22"/>
                <w:szCs w:val="22"/>
              </w:rPr>
              <w:t>15.10.2024</w:t>
            </w:r>
          </w:p>
        </w:tc>
        <w:tc>
          <w:tcPr>
            <w:tcW w:w="7488" w:type="dxa"/>
            <w:vAlign w:val="center"/>
          </w:tcPr>
          <w:p w14:paraId="20115A71" w14:textId="77777777" w:rsidR="00882273" w:rsidRDefault="000558DF">
            <w:pPr>
              <w:rPr>
                <w:rFonts w:cs="Arial"/>
                <w:sz w:val="22"/>
                <w:szCs w:val="22"/>
              </w:rPr>
            </w:pPr>
            <w:r>
              <w:rPr>
                <w:rFonts w:cs="Arial"/>
                <w:sz w:val="22"/>
                <w:szCs w:val="22"/>
              </w:rPr>
              <w:t>L’esperienza di Novecento italiano. Margherita Sarfatti e la cultura del Regime. Un esempio in pittura: Antonio Sironi.</w:t>
            </w:r>
          </w:p>
        </w:tc>
      </w:tr>
      <w:tr w:rsidR="00882273" w14:paraId="240BA635" w14:textId="77777777">
        <w:trPr>
          <w:trHeight w:val="567"/>
        </w:trPr>
        <w:tc>
          <w:tcPr>
            <w:tcW w:w="385" w:type="dxa"/>
            <w:vAlign w:val="center"/>
          </w:tcPr>
          <w:p w14:paraId="029D1BB2" w14:textId="77777777" w:rsidR="00882273" w:rsidRDefault="000558DF">
            <w:pPr>
              <w:jc w:val="center"/>
              <w:rPr>
                <w:rFonts w:cs="Arial"/>
                <w:b/>
                <w:bCs/>
                <w:sz w:val="22"/>
                <w:szCs w:val="22"/>
              </w:rPr>
            </w:pPr>
            <w:r>
              <w:rPr>
                <w:rFonts w:cs="Arial"/>
                <w:b/>
                <w:bCs/>
                <w:sz w:val="22"/>
                <w:szCs w:val="22"/>
              </w:rPr>
              <w:t>3</w:t>
            </w:r>
          </w:p>
        </w:tc>
        <w:tc>
          <w:tcPr>
            <w:tcW w:w="1638" w:type="dxa"/>
            <w:vAlign w:val="center"/>
          </w:tcPr>
          <w:p w14:paraId="603C2D0A" w14:textId="77777777" w:rsidR="00882273" w:rsidRDefault="000558DF">
            <w:pPr>
              <w:ind w:left="57"/>
              <w:jc w:val="center"/>
              <w:rPr>
                <w:sz w:val="22"/>
                <w:szCs w:val="22"/>
              </w:rPr>
            </w:pPr>
            <w:r>
              <w:rPr>
                <w:sz w:val="22"/>
                <w:szCs w:val="22"/>
              </w:rPr>
              <w:t>22.10.2024</w:t>
            </w:r>
          </w:p>
        </w:tc>
        <w:tc>
          <w:tcPr>
            <w:tcW w:w="7488" w:type="dxa"/>
            <w:vAlign w:val="center"/>
          </w:tcPr>
          <w:p w14:paraId="7F98CD5F" w14:textId="77777777" w:rsidR="00882273" w:rsidRDefault="000558DF">
            <w:pPr>
              <w:rPr>
                <w:rFonts w:cs="Arial"/>
                <w:sz w:val="22"/>
                <w:szCs w:val="22"/>
              </w:rPr>
            </w:pPr>
            <w:r>
              <w:rPr>
                <w:rFonts w:cs="Arial"/>
                <w:sz w:val="22"/>
                <w:szCs w:val="22"/>
              </w:rPr>
              <w:t xml:space="preserve">La pittura metafisica. De Chirico e Carrà. Sarfatti, Carrà e la Biennale di </w:t>
            </w:r>
            <w:r>
              <w:rPr>
                <w:rFonts w:cs="Arial"/>
                <w:sz w:val="22"/>
                <w:szCs w:val="22"/>
              </w:rPr>
              <w:t>Venezia.</w:t>
            </w:r>
          </w:p>
        </w:tc>
      </w:tr>
      <w:tr w:rsidR="00882273" w14:paraId="20E44D93" w14:textId="77777777">
        <w:trPr>
          <w:trHeight w:val="567"/>
        </w:trPr>
        <w:tc>
          <w:tcPr>
            <w:tcW w:w="385" w:type="dxa"/>
            <w:vAlign w:val="center"/>
          </w:tcPr>
          <w:p w14:paraId="6DF3F9EC" w14:textId="77777777" w:rsidR="00882273" w:rsidRDefault="000558DF">
            <w:pPr>
              <w:jc w:val="center"/>
              <w:rPr>
                <w:rFonts w:cs="Arial"/>
                <w:b/>
                <w:bCs/>
                <w:sz w:val="22"/>
                <w:szCs w:val="22"/>
              </w:rPr>
            </w:pPr>
            <w:r>
              <w:rPr>
                <w:rFonts w:cs="Arial"/>
                <w:b/>
                <w:bCs/>
                <w:sz w:val="22"/>
                <w:szCs w:val="22"/>
              </w:rPr>
              <w:t>4</w:t>
            </w:r>
          </w:p>
        </w:tc>
        <w:tc>
          <w:tcPr>
            <w:tcW w:w="1638" w:type="dxa"/>
            <w:vAlign w:val="center"/>
          </w:tcPr>
          <w:p w14:paraId="43C7B531" w14:textId="77777777" w:rsidR="00882273" w:rsidRDefault="000558DF">
            <w:pPr>
              <w:jc w:val="center"/>
              <w:rPr>
                <w:sz w:val="22"/>
                <w:szCs w:val="22"/>
              </w:rPr>
            </w:pPr>
            <w:r>
              <w:rPr>
                <w:sz w:val="22"/>
                <w:szCs w:val="22"/>
              </w:rPr>
              <w:t>29.10.2024</w:t>
            </w:r>
          </w:p>
        </w:tc>
        <w:tc>
          <w:tcPr>
            <w:tcW w:w="7488" w:type="dxa"/>
            <w:vAlign w:val="center"/>
          </w:tcPr>
          <w:p w14:paraId="5F7EE65A" w14:textId="77777777" w:rsidR="00882273" w:rsidRDefault="000558DF">
            <w:pPr>
              <w:rPr>
                <w:rFonts w:cs="Arial"/>
                <w:sz w:val="22"/>
                <w:szCs w:val="22"/>
              </w:rPr>
            </w:pPr>
            <w:r>
              <w:rPr>
                <w:rFonts w:cs="Arial"/>
                <w:sz w:val="22"/>
                <w:szCs w:val="22"/>
              </w:rPr>
              <w:t>Il ritorno all’ordine nella letteratura – Cocteau. In Italia l’esperienza della rivista La Ronda, il recupero del simbolismo e la nascita dell’Ermetismo.</w:t>
            </w:r>
          </w:p>
          <w:p w14:paraId="2257E476" w14:textId="77777777" w:rsidR="00882273" w:rsidRDefault="000558DF">
            <w:pPr>
              <w:rPr>
                <w:rFonts w:cs="Arial"/>
                <w:sz w:val="22"/>
                <w:szCs w:val="22"/>
              </w:rPr>
            </w:pPr>
            <w:r>
              <w:rPr>
                <w:rFonts w:cs="Arial"/>
                <w:sz w:val="22"/>
                <w:szCs w:val="22"/>
              </w:rPr>
              <w:t>La poesia metafisica di Montale.</w:t>
            </w:r>
          </w:p>
        </w:tc>
      </w:tr>
      <w:tr w:rsidR="00882273" w14:paraId="0A49C0E1" w14:textId="77777777">
        <w:trPr>
          <w:trHeight w:val="567"/>
        </w:trPr>
        <w:tc>
          <w:tcPr>
            <w:tcW w:w="385" w:type="dxa"/>
            <w:vAlign w:val="center"/>
          </w:tcPr>
          <w:p w14:paraId="7180B78C" w14:textId="77777777" w:rsidR="00882273" w:rsidRDefault="000558DF">
            <w:pPr>
              <w:jc w:val="center"/>
              <w:rPr>
                <w:rFonts w:cs="Arial"/>
                <w:b/>
                <w:bCs/>
                <w:sz w:val="22"/>
                <w:szCs w:val="22"/>
              </w:rPr>
            </w:pPr>
            <w:r>
              <w:rPr>
                <w:rFonts w:cs="Arial"/>
                <w:b/>
                <w:bCs/>
                <w:sz w:val="22"/>
                <w:szCs w:val="22"/>
              </w:rPr>
              <w:t>5</w:t>
            </w:r>
          </w:p>
        </w:tc>
        <w:tc>
          <w:tcPr>
            <w:tcW w:w="1638" w:type="dxa"/>
            <w:vAlign w:val="center"/>
          </w:tcPr>
          <w:p w14:paraId="720E6A12" w14:textId="77777777" w:rsidR="00882273" w:rsidRDefault="000558DF">
            <w:pPr>
              <w:ind w:left="57"/>
              <w:jc w:val="center"/>
              <w:rPr>
                <w:sz w:val="22"/>
                <w:szCs w:val="22"/>
              </w:rPr>
            </w:pPr>
            <w:r>
              <w:rPr>
                <w:sz w:val="22"/>
                <w:szCs w:val="22"/>
              </w:rPr>
              <w:t>05.11.2024</w:t>
            </w:r>
          </w:p>
        </w:tc>
        <w:tc>
          <w:tcPr>
            <w:tcW w:w="7488" w:type="dxa"/>
            <w:vAlign w:val="center"/>
          </w:tcPr>
          <w:p w14:paraId="2E082A41" w14:textId="77777777" w:rsidR="00882273" w:rsidRDefault="000558DF">
            <w:pPr>
              <w:rPr>
                <w:rFonts w:cs="Arial"/>
                <w:sz w:val="22"/>
                <w:szCs w:val="22"/>
              </w:rPr>
            </w:pPr>
            <w:r>
              <w:rPr>
                <w:rFonts w:cs="Arial"/>
                <w:sz w:val="22"/>
                <w:szCs w:val="22"/>
              </w:rPr>
              <w:t xml:space="preserve">Gli anni ’30 e la guerra. Dai </w:t>
            </w:r>
            <w:r>
              <w:rPr>
                <w:rFonts w:cs="Arial"/>
                <w:sz w:val="22"/>
                <w:szCs w:val="22"/>
              </w:rPr>
              <w:t>futuristi a Valori plastici. Rielaborare Cezanne, Derain e Picasso secondo la grande tradizione italiana tradizione italiana: Giorgio Morandi e Osvaldo Licini.</w:t>
            </w:r>
          </w:p>
        </w:tc>
      </w:tr>
      <w:tr w:rsidR="00882273" w14:paraId="1D3DBC16" w14:textId="77777777">
        <w:trPr>
          <w:trHeight w:val="567"/>
        </w:trPr>
        <w:tc>
          <w:tcPr>
            <w:tcW w:w="385" w:type="dxa"/>
            <w:vAlign w:val="center"/>
          </w:tcPr>
          <w:p w14:paraId="4A79333B" w14:textId="77777777" w:rsidR="00882273" w:rsidRDefault="000558DF">
            <w:pPr>
              <w:jc w:val="center"/>
              <w:rPr>
                <w:rFonts w:cs="Arial"/>
                <w:b/>
                <w:bCs/>
                <w:sz w:val="22"/>
                <w:szCs w:val="22"/>
              </w:rPr>
            </w:pPr>
            <w:r>
              <w:rPr>
                <w:rFonts w:cs="Arial"/>
                <w:b/>
                <w:bCs/>
                <w:sz w:val="22"/>
                <w:szCs w:val="22"/>
              </w:rPr>
              <w:t>6</w:t>
            </w:r>
          </w:p>
        </w:tc>
        <w:tc>
          <w:tcPr>
            <w:tcW w:w="1638" w:type="dxa"/>
            <w:vAlign w:val="center"/>
          </w:tcPr>
          <w:p w14:paraId="26AF40D1" w14:textId="77777777" w:rsidR="00882273" w:rsidRDefault="000558DF">
            <w:pPr>
              <w:ind w:left="57"/>
              <w:jc w:val="center"/>
              <w:rPr>
                <w:sz w:val="22"/>
                <w:szCs w:val="22"/>
                <w:lang w:val="de-DE"/>
              </w:rPr>
            </w:pPr>
            <w:r>
              <w:rPr>
                <w:sz w:val="22"/>
                <w:szCs w:val="22"/>
              </w:rPr>
              <w:t>12.11.2024</w:t>
            </w:r>
          </w:p>
        </w:tc>
        <w:tc>
          <w:tcPr>
            <w:tcW w:w="7488" w:type="dxa"/>
            <w:vAlign w:val="center"/>
          </w:tcPr>
          <w:p w14:paraId="2C56585C" w14:textId="77777777" w:rsidR="00882273" w:rsidRDefault="000558DF">
            <w:pPr>
              <w:rPr>
                <w:rFonts w:cs="Arial"/>
                <w:sz w:val="22"/>
                <w:szCs w:val="22"/>
              </w:rPr>
            </w:pPr>
            <w:r>
              <w:rPr>
                <w:rFonts w:cs="Arial"/>
                <w:sz w:val="22"/>
                <w:szCs w:val="22"/>
              </w:rPr>
              <w:t>Gli anni ’30 e ‘40 in Italia, l’arte tra censura ed esaltazione del regime. L’esperienza di Croce. La rinascita del realismo: Moravia, Pavese.</w:t>
            </w:r>
          </w:p>
          <w:p w14:paraId="07889160" w14:textId="77777777" w:rsidR="00882273" w:rsidRDefault="000558DF">
            <w:pPr>
              <w:rPr>
                <w:rFonts w:cs="Arial"/>
                <w:sz w:val="22"/>
                <w:szCs w:val="22"/>
              </w:rPr>
            </w:pPr>
            <w:r>
              <w:rPr>
                <w:rFonts w:cs="Arial"/>
                <w:sz w:val="22"/>
                <w:szCs w:val="22"/>
              </w:rPr>
              <w:t>Il movimenti spazialista e Lucio Fontana</w:t>
            </w:r>
          </w:p>
        </w:tc>
      </w:tr>
      <w:tr w:rsidR="00882273" w14:paraId="5EA86661" w14:textId="77777777">
        <w:trPr>
          <w:trHeight w:val="567"/>
        </w:trPr>
        <w:tc>
          <w:tcPr>
            <w:tcW w:w="385" w:type="dxa"/>
            <w:vAlign w:val="center"/>
          </w:tcPr>
          <w:p w14:paraId="646551E9" w14:textId="77777777" w:rsidR="00882273" w:rsidRDefault="000558DF">
            <w:pPr>
              <w:jc w:val="center"/>
              <w:rPr>
                <w:rFonts w:cs="Arial"/>
                <w:b/>
                <w:bCs/>
                <w:sz w:val="22"/>
                <w:szCs w:val="22"/>
              </w:rPr>
            </w:pPr>
            <w:r>
              <w:rPr>
                <w:rFonts w:cs="Arial"/>
                <w:b/>
                <w:bCs/>
                <w:sz w:val="22"/>
                <w:szCs w:val="22"/>
              </w:rPr>
              <w:t>7</w:t>
            </w:r>
          </w:p>
        </w:tc>
        <w:tc>
          <w:tcPr>
            <w:tcW w:w="1638" w:type="dxa"/>
            <w:vAlign w:val="center"/>
          </w:tcPr>
          <w:p w14:paraId="1E044125" w14:textId="77777777" w:rsidR="00882273" w:rsidRDefault="000558DF">
            <w:pPr>
              <w:ind w:left="57"/>
              <w:jc w:val="center"/>
              <w:rPr>
                <w:sz w:val="22"/>
                <w:szCs w:val="22"/>
              </w:rPr>
            </w:pPr>
            <w:r>
              <w:rPr>
                <w:sz w:val="22"/>
                <w:szCs w:val="22"/>
              </w:rPr>
              <w:t>19.11.2024</w:t>
            </w:r>
          </w:p>
        </w:tc>
        <w:tc>
          <w:tcPr>
            <w:tcW w:w="7488" w:type="dxa"/>
            <w:vAlign w:val="center"/>
          </w:tcPr>
          <w:p w14:paraId="2443F8B1" w14:textId="77777777" w:rsidR="00882273" w:rsidRDefault="000558DF">
            <w:pPr>
              <w:rPr>
                <w:rFonts w:cs="Arial"/>
                <w:i/>
                <w:iCs/>
                <w:sz w:val="22"/>
                <w:szCs w:val="22"/>
              </w:rPr>
            </w:pPr>
            <w:r>
              <w:rPr>
                <w:rFonts w:cs="Arial"/>
                <w:i/>
                <w:iCs/>
                <w:sz w:val="22"/>
                <w:szCs w:val="22"/>
              </w:rPr>
              <w:t>L’esperienza della Guerra e il neorealismo tra letteratura, arte e cinema.</w:t>
            </w:r>
            <w:r>
              <w:rPr>
                <w:rFonts w:cs="Arial"/>
                <w:sz w:val="22"/>
                <w:szCs w:val="22"/>
              </w:rPr>
              <w:t xml:space="preserve"> Verso il superamento del neorealismo . L’Italia e la nuova cultura dell’industrializzazione. Il romanzo industriale. Italo Calvino. Il gruppo del 63.</w:t>
            </w:r>
          </w:p>
        </w:tc>
      </w:tr>
      <w:tr w:rsidR="00882273" w14:paraId="7D59ADA7" w14:textId="77777777">
        <w:trPr>
          <w:trHeight w:val="567"/>
        </w:trPr>
        <w:tc>
          <w:tcPr>
            <w:tcW w:w="385" w:type="dxa"/>
            <w:vAlign w:val="center"/>
          </w:tcPr>
          <w:p w14:paraId="7D6C8D66" w14:textId="77777777" w:rsidR="00882273" w:rsidRDefault="000558DF">
            <w:pPr>
              <w:jc w:val="center"/>
              <w:rPr>
                <w:rFonts w:cs="Arial"/>
                <w:b/>
                <w:bCs/>
                <w:sz w:val="22"/>
                <w:szCs w:val="22"/>
              </w:rPr>
            </w:pPr>
            <w:r>
              <w:rPr>
                <w:rFonts w:cs="Arial"/>
                <w:b/>
                <w:bCs/>
                <w:sz w:val="22"/>
                <w:szCs w:val="22"/>
              </w:rPr>
              <w:t>8</w:t>
            </w:r>
          </w:p>
        </w:tc>
        <w:tc>
          <w:tcPr>
            <w:tcW w:w="1638" w:type="dxa"/>
            <w:vAlign w:val="center"/>
          </w:tcPr>
          <w:p w14:paraId="48796D0D" w14:textId="77777777" w:rsidR="00882273" w:rsidRDefault="000558DF">
            <w:pPr>
              <w:ind w:left="57"/>
              <w:jc w:val="center"/>
              <w:rPr>
                <w:sz w:val="22"/>
                <w:szCs w:val="22"/>
              </w:rPr>
            </w:pPr>
            <w:r>
              <w:rPr>
                <w:sz w:val="22"/>
                <w:szCs w:val="22"/>
              </w:rPr>
              <w:t>26.11.2024</w:t>
            </w:r>
          </w:p>
        </w:tc>
        <w:tc>
          <w:tcPr>
            <w:tcW w:w="7488" w:type="dxa"/>
            <w:vAlign w:val="center"/>
          </w:tcPr>
          <w:p w14:paraId="7559743F" w14:textId="77777777" w:rsidR="00882273" w:rsidRDefault="000558DF">
            <w:pPr>
              <w:rPr>
                <w:rFonts w:cs="Arial"/>
                <w:sz w:val="22"/>
                <w:szCs w:val="22"/>
              </w:rPr>
            </w:pPr>
            <w:r>
              <w:rPr>
                <w:rFonts w:cs="Arial"/>
                <w:sz w:val="22"/>
                <w:szCs w:val="22"/>
              </w:rPr>
              <w:t>Il decadimento dell’arte tradizionale. Pietro Manzoni e l’arte concettuale.</w:t>
            </w:r>
          </w:p>
          <w:p w14:paraId="03CD7DA4" w14:textId="77777777" w:rsidR="00882273" w:rsidRDefault="000558DF">
            <w:pPr>
              <w:rPr>
                <w:rFonts w:cs="Arial"/>
                <w:sz w:val="22"/>
                <w:szCs w:val="22"/>
              </w:rPr>
            </w:pPr>
            <w:r>
              <w:rPr>
                <w:rFonts w:cs="Arial"/>
                <w:sz w:val="22"/>
                <w:szCs w:val="22"/>
              </w:rPr>
              <w:t xml:space="preserve">La negazione della scrittura artistica: la body art. e la Land art. Le crete di </w:t>
            </w:r>
            <w:r>
              <w:rPr>
                <w:rFonts w:cs="Arial"/>
                <w:sz w:val="22"/>
                <w:szCs w:val="22"/>
              </w:rPr>
              <w:t>Burri.</w:t>
            </w:r>
          </w:p>
        </w:tc>
      </w:tr>
    </w:tbl>
    <w:p w14:paraId="15DC93B0" w14:textId="77777777" w:rsidR="00882273" w:rsidRDefault="00882273" w:rsidP="000558DF"/>
    <w:sectPr w:rsidR="00882273" w:rsidSect="000558DF">
      <w:pgSz w:w="11906" w:h="16838"/>
      <w:pgMar w:top="284" w:right="1134" w:bottom="142"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73"/>
    <w:rsid w:val="000558DF"/>
    <w:rsid w:val="00882273"/>
    <w:rsid w:val="00FE06E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C6B2"/>
  <w15:docId w15:val="{A6A6C83E-F09D-440B-814C-861669FE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customStyle="1" w:styleId="apple-converted-space">
    <w:name w:val="apple-converted-space"/>
    <w:qFormat/>
    <w:rsid w:val="00FD292C"/>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Standard">
    <w:name w:val="Standard"/>
    <w:qFormat/>
    <w:rsid w:val="00FD292C"/>
    <w:pPr>
      <w:tabs>
        <w:tab w:val="left" w:pos="708"/>
      </w:tabs>
      <w:spacing w:line="100" w:lineRule="atLeast"/>
      <w:textAlignment w:val="baseline"/>
    </w:pPr>
    <w:rPr>
      <w:rFonts w:ascii="Times New Roman" w:eastAsia="Times New Roman" w:hAnsi="Times New Roman" w:cs="Calibri"/>
      <w:kern w:val="2"/>
      <w:sz w:val="24"/>
      <w:szCs w:val="24"/>
      <w:lang w:eastAsia="it-IT"/>
    </w:rPr>
  </w:style>
  <w:style w:type="paragraph" w:customStyle="1" w:styleId="Contenutocornice">
    <w:name w:val="Contenuto cornice"/>
    <w:basedOn w:val="Normale"/>
    <w:qFormat/>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8</cp:revision>
  <dcterms:created xsi:type="dcterms:W3CDTF">2024-06-09T15:55:00Z</dcterms:created>
  <dcterms:modified xsi:type="dcterms:W3CDTF">2024-07-04T12:19:00Z</dcterms:modified>
  <dc:language>it-IT</dc:language>
</cp:coreProperties>
</file>