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D8972" w14:textId="02D6DA36" w:rsidR="00CE0E41" w:rsidRDefault="00CE0E41" w:rsidP="00CE0E41">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F90018">
        <w:rPr>
          <w:b/>
          <w:bCs/>
          <w:sz w:val="44"/>
        </w:rPr>
        <w:t>4</w:t>
      </w:r>
      <w:r>
        <w:rPr>
          <w:b/>
          <w:bCs/>
          <w:sz w:val="44"/>
        </w:rPr>
        <w:t>/2</w:t>
      </w:r>
      <w:r w:rsidR="00F90018">
        <w:rPr>
          <w:b/>
          <w:bCs/>
          <w:sz w:val="44"/>
        </w:rPr>
        <w:t>5</w:t>
      </w:r>
    </w:p>
    <w:p w14:paraId="740E9E12" w14:textId="77777777" w:rsidR="00CE0E41" w:rsidRPr="00437D8A" w:rsidRDefault="00CE0E41" w:rsidP="00CE0E41">
      <w:pPr>
        <w:pStyle w:val="Intestazione"/>
        <w:rPr>
          <w:b/>
          <w:bCs/>
          <w:color w:val="00B050"/>
          <w:sz w:val="24"/>
        </w:rPr>
      </w:pPr>
      <w:r w:rsidRPr="00437D8A">
        <w:rPr>
          <w:color w:val="00B050"/>
        </w:rPr>
        <w:t xml:space="preserve">                                                           Bergamo -</w:t>
      </w:r>
      <w:r w:rsidRPr="00437D8A">
        <w:rPr>
          <w:b/>
          <w:color w:val="00B050"/>
        </w:rPr>
        <w:t xml:space="preserve"> </w:t>
      </w:r>
      <w:r w:rsidRPr="00437D8A">
        <w:rPr>
          <w:b/>
          <w:bCs/>
          <w:color w:val="00B050"/>
          <w:sz w:val="24"/>
        </w:rPr>
        <w:t>PRIMA FASE</w:t>
      </w:r>
    </w:p>
    <w:p w14:paraId="45E3230B" w14:textId="77777777" w:rsidR="00CE0E41" w:rsidRDefault="00CE0E41" w:rsidP="00CE0E41">
      <w:pPr>
        <w:rPr>
          <w:sz w:val="20"/>
          <w:szCs w:val="20"/>
        </w:rPr>
      </w:pPr>
    </w:p>
    <w:p w14:paraId="35C43FD4" w14:textId="77777777" w:rsidR="00CE0E41" w:rsidRDefault="00CE0E41" w:rsidP="00CE0E41">
      <w:pPr>
        <w:rPr>
          <w:sz w:val="20"/>
          <w:szCs w:val="20"/>
        </w:rPr>
      </w:pPr>
    </w:p>
    <w:p w14:paraId="44D171E5" w14:textId="77777777" w:rsidR="00CE0E41" w:rsidRPr="00C23A02" w:rsidRDefault="00CE0E41" w:rsidP="00CE0E41">
      <w:pPr>
        <w:rPr>
          <w:sz w:val="20"/>
          <w:szCs w:val="20"/>
        </w:rPr>
      </w:pP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838"/>
        <w:gridCol w:w="709"/>
        <w:gridCol w:w="7087"/>
      </w:tblGrid>
      <w:tr w:rsidR="005E73CA" w:rsidRPr="00F028A8" w14:paraId="1E942FA0" w14:textId="77777777" w:rsidTr="00F90018">
        <w:trPr>
          <w:trHeight w:val="830"/>
        </w:trPr>
        <w:tc>
          <w:tcPr>
            <w:tcW w:w="1838"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709" w:type="dxa"/>
            <w:vAlign w:val="center"/>
          </w:tcPr>
          <w:p w14:paraId="68BA21B0" w14:textId="2C6CA958" w:rsidR="005E73CA" w:rsidRPr="009124C2" w:rsidRDefault="00F17B2A" w:rsidP="00CB3121">
            <w:pPr>
              <w:jc w:val="center"/>
              <w:rPr>
                <w:b/>
                <w:sz w:val="40"/>
                <w:szCs w:val="40"/>
              </w:rPr>
            </w:pPr>
            <w:r>
              <w:rPr>
                <w:b/>
                <w:sz w:val="40"/>
                <w:szCs w:val="40"/>
              </w:rPr>
              <w:t>20</w:t>
            </w:r>
          </w:p>
        </w:tc>
        <w:tc>
          <w:tcPr>
            <w:tcW w:w="7087" w:type="dxa"/>
            <w:vAlign w:val="center"/>
          </w:tcPr>
          <w:p w14:paraId="47AB3DF8" w14:textId="7A59A9B9" w:rsidR="005E73CA" w:rsidRPr="00F17B2A" w:rsidRDefault="00F17B2A" w:rsidP="00F17B2A">
            <w:pPr>
              <w:pStyle w:val="NormaleWeb"/>
              <w:spacing w:before="0" w:after="0"/>
              <w:jc w:val="center"/>
              <w:rPr>
                <w:rFonts w:ascii="Arial" w:hAnsi="Arial" w:cs="Arial"/>
                <w:b/>
                <w:bCs/>
                <w:i/>
                <w:iCs/>
                <w:sz w:val="32"/>
                <w:szCs w:val="32"/>
              </w:rPr>
            </w:pPr>
            <w:r w:rsidRPr="00F17B2A">
              <w:rPr>
                <w:rFonts w:ascii="Arial" w:hAnsi="Arial" w:cs="Arial"/>
                <w:b/>
                <w:bCs/>
                <w:i/>
                <w:iCs/>
                <w:sz w:val="32"/>
                <w:szCs w:val="32"/>
              </w:rPr>
              <w:t xml:space="preserve">QUANDO LA SCIENZA SI RACCONTA, È STUPORE E MERAVIGLIA </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5E73CA">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8050" w:type="dxa"/>
            <w:vAlign w:val="center"/>
          </w:tcPr>
          <w:p w14:paraId="5BB2E641" w14:textId="2FC8A4FF" w:rsidR="00CE0E41" w:rsidRPr="00F17B2A" w:rsidRDefault="00F17B2A" w:rsidP="00F17B2A">
            <w:pPr>
              <w:rPr>
                <w:rFonts w:cs="Arial"/>
                <w:b/>
                <w:bCs/>
                <w:sz w:val="22"/>
                <w:szCs w:val="22"/>
              </w:rPr>
            </w:pPr>
            <w:r w:rsidRPr="00F17B2A">
              <w:rPr>
                <w:rFonts w:cs="Arial"/>
                <w:b/>
                <w:bCs/>
                <w:sz w:val="22"/>
                <w:szCs w:val="22"/>
              </w:rPr>
              <w:t>Eliana Bertocchi</w:t>
            </w:r>
          </w:p>
        </w:tc>
      </w:tr>
      <w:tr w:rsidR="00CE0E41" w:rsidRPr="009124C2" w14:paraId="0677E990" w14:textId="77777777" w:rsidTr="005E73CA">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8050" w:type="dxa"/>
            <w:vAlign w:val="center"/>
          </w:tcPr>
          <w:p w14:paraId="3DF54C2B" w14:textId="590E8FDE" w:rsidR="00CE0E41" w:rsidRPr="00F17B2A" w:rsidRDefault="00F17B2A" w:rsidP="00CB3121">
            <w:pPr>
              <w:rPr>
                <w:sz w:val="22"/>
                <w:szCs w:val="22"/>
              </w:rPr>
            </w:pPr>
            <w:r w:rsidRPr="00F17B2A">
              <w:rPr>
                <w:rFonts w:cs="Arial"/>
                <w:sz w:val="22"/>
                <w:szCs w:val="22"/>
              </w:rPr>
              <w:t>Mercoledì</w:t>
            </w:r>
          </w:p>
        </w:tc>
      </w:tr>
      <w:tr w:rsidR="00CE0E41" w:rsidRPr="009124C2" w14:paraId="4DF3B695" w14:textId="77777777" w:rsidTr="005E73CA">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8050" w:type="dxa"/>
            <w:vAlign w:val="center"/>
          </w:tcPr>
          <w:p w14:paraId="7E98FB75" w14:textId="7D3D95AA" w:rsidR="00CE0E41" w:rsidRPr="00F17B2A" w:rsidRDefault="00E17078" w:rsidP="00CB3121">
            <w:pPr>
              <w:rPr>
                <w:sz w:val="22"/>
                <w:szCs w:val="22"/>
              </w:rPr>
            </w:pPr>
            <w:r w:rsidRPr="00F17B2A">
              <w:rPr>
                <w:sz w:val="22"/>
                <w:szCs w:val="22"/>
              </w:rPr>
              <w:t>15.00</w:t>
            </w:r>
            <w:r w:rsidR="00F17B2A" w:rsidRPr="00F17B2A">
              <w:rPr>
                <w:sz w:val="22"/>
                <w:szCs w:val="22"/>
              </w:rPr>
              <w:t xml:space="preserve"> </w:t>
            </w:r>
            <w:r w:rsidRPr="00F17B2A">
              <w:rPr>
                <w:sz w:val="22"/>
                <w:szCs w:val="22"/>
              </w:rPr>
              <w:t>-17.15</w:t>
            </w:r>
          </w:p>
        </w:tc>
      </w:tr>
      <w:tr w:rsidR="00CE0E41" w:rsidRPr="009124C2" w14:paraId="782B8717" w14:textId="77777777" w:rsidTr="005E73CA">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8050" w:type="dxa"/>
            <w:vAlign w:val="center"/>
          </w:tcPr>
          <w:p w14:paraId="1BBB36A1" w14:textId="42EA1CC4" w:rsidR="00CE0E41" w:rsidRPr="00F17B2A" w:rsidRDefault="00CE0E41" w:rsidP="00CB3121">
            <w:pPr>
              <w:rPr>
                <w:sz w:val="22"/>
                <w:szCs w:val="22"/>
              </w:rPr>
            </w:pPr>
            <w:r w:rsidRPr="00F17B2A">
              <w:rPr>
                <w:sz w:val="22"/>
                <w:szCs w:val="22"/>
              </w:rPr>
              <w:t xml:space="preserve">Dal </w:t>
            </w:r>
            <w:r w:rsidR="00F17B2A" w:rsidRPr="00F17B2A">
              <w:rPr>
                <w:rFonts w:cs="Arial"/>
                <w:sz w:val="22"/>
                <w:szCs w:val="22"/>
              </w:rPr>
              <w:t>30 ottobre al 27 novembre 2024 (5 incontri - € 20,00)</w:t>
            </w:r>
          </w:p>
        </w:tc>
      </w:tr>
      <w:tr w:rsidR="00CE0E41" w:rsidRPr="009124C2" w14:paraId="44B4C69B" w14:textId="77777777" w:rsidTr="005E73CA">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8050" w:type="dxa"/>
            <w:vAlign w:val="center"/>
          </w:tcPr>
          <w:p w14:paraId="16EE07FA" w14:textId="66006989" w:rsidR="00CE0E41" w:rsidRPr="00F17B2A" w:rsidRDefault="00F17B2A" w:rsidP="00CB3121">
            <w:pPr>
              <w:jc w:val="both"/>
              <w:rPr>
                <w:sz w:val="22"/>
                <w:szCs w:val="22"/>
              </w:rPr>
            </w:pPr>
            <w:r w:rsidRPr="00F17B2A">
              <w:rPr>
                <w:rFonts w:cs="Arial"/>
                <w:sz w:val="22"/>
                <w:szCs w:val="22"/>
              </w:rPr>
              <w:t>Mutuo Soccorso, via Zambonate,</w:t>
            </w:r>
          </w:p>
        </w:tc>
      </w:tr>
      <w:tr w:rsidR="00CE0E41" w:rsidRPr="009124C2" w14:paraId="57703C0E" w14:textId="77777777" w:rsidTr="005E73CA">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8050" w:type="dxa"/>
            <w:vAlign w:val="center"/>
          </w:tcPr>
          <w:p w14:paraId="52D884EC" w14:textId="5CD11A83" w:rsidR="00CE0E41" w:rsidRPr="00F17B2A" w:rsidRDefault="00F17B2A" w:rsidP="00F17B2A">
            <w:pPr>
              <w:rPr>
                <w:rFonts w:cs="Arial"/>
                <w:b/>
                <w:bCs/>
                <w:sz w:val="22"/>
                <w:szCs w:val="22"/>
              </w:rPr>
            </w:pPr>
            <w:r w:rsidRPr="00F17B2A">
              <w:rPr>
                <w:rFonts w:cs="Arial"/>
                <w:b/>
                <w:bCs/>
                <w:sz w:val="22"/>
                <w:szCs w:val="22"/>
              </w:rPr>
              <w:t xml:space="preserve">SCIENZE E LETTERATURA </w:t>
            </w:r>
          </w:p>
        </w:tc>
      </w:tr>
      <w:tr w:rsidR="00CE0E41" w:rsidRPr="009124C2" w14:paraId="6662DB94" w14:textId="77777777" w:rsidTr="005E73CA">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8050" w:type="dxa"/>
            <w:vAlign w:val="center"/>
          </w:tcPr>
          <w:p w14:paraId="58FFBF83" w14:textId="7B728588" w:rsidR="00CE0E41" w:rsidRPr="00F17B2A" w:rsidRDefault="00F17B2A" w:rsidP="00F17B2A">
            <w:pPr>
              <w:shd w:val="clear" w:color="auto" w:fill="FFFFFF"/>
              <w:jc w:val="both"/>
              <w:rPr>
                <w:rFonts w:cs="Arial"/>
                <w:i/>
                <w:iCs/>
                <w:sz w:val="22"/>
                <w:szCs w:val="22"/>
              </w:rPr>
            </w:pPr>
            <w:r w:rsidRPr="00F17B2A">
              <w:rPr>
                <w:rFonts w:cs="Arial"/>
                <w:i/>
                <w:iCs/>
                <w:sz w:val="22"/>
                <w:szCs w:val="22"/>
              </w:rPr>
              <w:t>Scienza e Letteratura si possono incontrare? Nella storia della Scienza ci si imbatte in infiniti esempi di scienziati affascinanti che ci incantano per le loro scoperte, ma soprattutto per il modo con cui le narrano. La Scienza è un percorso narrativo, la descrizione della scoperta si intreccia con la storia personale dello scienziato e le vicende storiche che fanno da sfondo. E dunque, Primo Levi, chimico e scrittore: con parole e molecole ci fa entrare nel suo mondo e ci accompagna con uno stile personale alla comprensione della realtà e della storia; Rachel Carson, con una narrazione appassionata e minuziosamente documentata scrive un’opera che è diventata la pietra miliare dell’ambientalismo; Oliver Sacks, prima ci conduce nei ricordi “chimici” della sua infanzia, poi, diventato medico, sperimenta la sovrapposizione delle neuroscienze con le scienze umanistiche; Stefano Mancuso, botanico, inventa un “esperimento letterario”, una favola che ci svela i misteri degli alberi nel bosco, una storia emozionante, nella quale l’essere umano viene addirittura escluso dalla narrazione. Non gli resta che riflettere.</w:t>
            </w:r>
          </w:p>
        </w:tc>
      </w:tr>
      <w:tr w:rsidR="00CE0E41" w:rsidRPr="009124C2" w14:paraId="13379C1F" w14:textId="77777777" w:rsidTr="00CB3121">
        <w:trPr>
          <w:trHeight w:val="340"/>
        </w:trPr>
        <w:tc>
          <w:tcPr>
            <w:tcW w:w="1728" w:type="dxa"/>
          </w:tcPr>
          <w:p w14:paraId="798EB88B" w14:textId="5CF2FA9D" w:rsidR="00CE0E41" w:rsidRPr="009124C2" w:rsidRDefault="00CE0E41" w:rsidP="00CB3121">
            <w:pPr>
              <w:rPr>
                <w:b/>
                <w:sz w:val="22"/>
                <w:szCs w:val="22"/>
              </w:rPr>
            </w:pPr>
          </w:p>
        </w:tc>
        <w:tc>
          <w:tcPr>
            <w:tcW w:w="8050" w:type="dxa"/>
          </w:tcPr>
          <w:p w14:paraId="734AAF65" w14:textId="77777777" w:rsidR="00CE0E41" w:rsidRPr="009124C2" w:rsidRDefault="00CE0E41" w:rsidP="00CB3121">
            <w:pPr>
              <w:pStyle w:val="TESTONORMALE"/>
              <w:spacing w:before="0" w:line="240" w:lineRule="auto"/>
              <w:rPr>
                <w:rFonts w:ascii="Arial" w:hAnsi="Arial" w:cs="Arial"/>
                <w:sz w:val="22"/>
              </w:rPr>
            </w:pPr>
          </w:p>
        </w:tc>
      </w:tr>
    </w:tbl>
    <w:p w14:paraId="576D106D" w14:textId="77777777" w:rsidR="00CE0E41" w:rsidRDefault="00CE0E41" w:rsidP="00CE0E41">
      <w:pPr>
        <w:rPr>
          <w:b/>
          <w:sz w:val="24"/>
        </w:rPr>
      </w:pPr>
    </w:p>
    <w:p w14:paraId="0E1C0429" w14:textId="77777777" w:rsidR="00CE0E41" w:rsidRPr="00C75FD9" w:rsidRDefault="00CE0E41" w:rsidP="00CE0E41">
      <w:pPr>
        <w:rPr>
          <w:b/>
          <w:sz w:val="24"/>
        </w:rPr>
      </w:pPr>
      <w:r w:rsidRPr="00C75FD9">
        <w:rPr>
          <w:b/>
          <w:sz w:val="24"/>
        </w:rPr>
        <w:t xml:space="preserve">Calendario  </w:t>
      </w:r>
    </w:p>
    <w:p w14:paraId="63D85536" w14:textId="77777777" w:rsidR="00CE0E41" w:rsidRDefault="00CE0E41" w:rsidP="00CE0E41">
      <w:pPr>
        <w:rPr>
          <w:b/>
          <w:sz w:val="24"/>
        </w:rPr>
      </w:pPr>
    </w:p>
    <w:tbl>
      <w:tblPr>
        <w:tblpPr w:leftFromText="141" w:rightFromText="141" w:vertAnchor="text" w:horzAnchor="margin" w:tblpY="170"/>
        <w:tblW w:w="9511" w:type="dxa"/>
        <w:tblCellMar>
          <w:left w:w="70" w:type="dxa"/>
          <w:right w:w="70" w:type="dxa"/>
        </w:tblCellMar>
        <w:tblLook w:val="0000" w:firstRow="0" w:lastRow="0" w:firstColumn="0" w:lastColumn="0" w:noHBand="0" w:noVBand="0"/>
      </w:tblPr>
      <w:tblGrid>
        <w:gridCol w:w="385"/>
        <w:gridCol w:w="1639"/>
        <w:gridCol w:w="7487"/>
      </w:tblGrid>
      <w:tr w:rsidR="00CE0E41" w:rsidRPr="00912182" w14:paraId="79ABADCD" w14:textId="77777777" w:rsidTr="005E73CA">
        <w:trPr>
          <w:trHeight w:val="564"/>
        </w:trPr>
        <w:tc>
          <w:tcPr>
            <w:tcW w:w="385" w:type="dxa"/>
            <w:vAlign w:val="center"/>
          </w:tcPr>
          <w:p w14:paraId="7D49DAEB" w14:textId="77777777" w:rsidR="00CE0E41" w:rsidRPr="009124C2" w:rsidRDefault="00CE0E41" w:rsidP="005E73CA">
            <w:pPr>
              <w:jc w:val="center"/>
              <w:rPr>
                <w:rFonts w:cs="Arial"/>
                <w:b/>
                <w:bCs/>
                <w:sz w:val="22"/>
                <w:szCs w:val="22"/>
              </w:rPr>
            </w:pPr>
            <w:r w:rsidRPr="009124C2">
              <w:rPr>
                <w:rFonts w:cs="Arial"/>
                <w:b/>
                <w:bCs/>
                <w:sz w:val="22"/>
                <w:szCs w:val="22"/>
              </w:rPr>
              <w:t>1</w:t>
            </w:r>
          </w:p>
        </w:tc>
        <w:tc>
          <w:tcPr>
            <w:tcW w:w="1639" w:type="dxa"/>
            <w:vAlign w:val="center"/>
          </w:tcPr>
          <w:p w14:paraId="15607591" w14:textId="4C1ABC58" w:rsidR="00CE0E41" w:rsidRPr="009124C2" w:rsidRDefault="00F17B2A" w:rsidP="005E73CA">
            <w:pPr>
              <w:ind w:left="57"/>
              <w:jc w:val="center"/>
              <w:rPr>
                <w:sz w:val="22"/>
                <w:szCs w:val="22"/>
              </w:rPr>
            </w:pPr>
            <w:r>
              <w:rPr>
                <w:sz w:val="22"/>
                <w:szCs w:val="22"/>
              </w:rPr>
              <w:t>30.10.2024</w:t>
            </w:r>
          </w:p>
        </w:tc>
        <w:tc>
          <w:tcPr>
            <w:tcW w:w="7487" w:type="dxa"/>
            <w:vAlign w:val="center"/>
          </w:tcPr>
          <w:p w14:paraId="5956DB5B" w14:textId="7602797D" w:rsidR="002B0AB6" w:rsidRPr="002B0AB6" w:rsidRDefault="002B0AB6" w:rsidP="002B0AB6">
            <w:pPr>
              <w:rPr>
                <w:rFonts w:cs="Arial"/>
                <w:sz w:val="22"/>
                <w:szCs w:val="22"/>
              </w:rPr>
            </w:pPr>
            <w:r w:rsidRPr="002B0AB6">
              <w:rPr>
                <w:rFonts w:cs="Arial"/>
                <w:sz w:val="22"/>
                <w:szCs w:val="22"/>
              </w:rPr>
              <w:t xml:space="preserve">Importanza della divulgazione scientifica: quale finalità? a quale pubblico? quale linguaggio? </w:t>
            </w:r>
          </w:p>
          <w:p w14:paraId="742A1376" w14:textId="77777777" w:rsidR="002B0AB6" w:rsidRPr="002B0AB6" w:rsidRDefault="002B0AB6" w:rsidP="002B0AB6">
            <w:pPr>
              <w:rPr>
                <w:rFonts w:cs="Arial"/>
                <w:sz w:val="22"/>
                <w:szCs w:val="22"/>
              </w:rPr>
            </w:pPr>
            <w:r w:rsidRPr="002B0AB6">
              <w:rPr>
                <w:rFonts w:cs="Arial"/>
                <w:sz w:val="22"/>
                <w:szCs w:val="22"/>
              </w:rPr>
              <w:t>Da tempo la Scienza cerca di arrivare al cuore del cittadino; ciò significa trattare argomenti complessi che diventino comprensibili. Ma non solo: ogni scienziato-scrittore ha una propria chiave con cui entrare in sintonia con il lettore.</w:t>
            </w:r>
          </w:p>
          <w:p w14:paraId="5C2B06AB" w14:textId="41065E23" w:rsidR="00CE0E41" w:rsidRPr="00B64D67" w:rsidRDefault="002B0AB6" w:rsidP="002B0AB6">
            <w:pPr>
              <w:rPr>
                <w:rFonts w:cs="Arial"/>
                <w:sz w:val="22"/>
                <w:szCs w:val="22"/>
              </w:rPr>
            </w:pPr>
            <w:r w:rsidRPr="002B0AB6">
              <w:rPr>
                <w:rFonts w:cs="Arial"/>
                <w:sz w:val="22"/>
                <w:szCs w:val="22"/>
              </w:rPr>
              <w:t xml:space="preserve">Primo Levi: lettura di alcune pagine da </w:t>
            </w:r>
            <w:r>
              <w:rPr>
                <w:rFonts w:cs="Arial"/>
                <w:sz w:val="22"/>
                <w:szCs w:val="22"/>
              </w:rPr>
              <w:t xml:space="preserve">“Se questo è un uomo” e </w:t>
            </w:r>
            <w:r w:rsidRPr="002B0AB6">
              <w:rPr>
                <w:rFonts w:cs="Arial"/>
                <w:sz w:val="22"/>
                <w:szCs w:val="22"/>
              </w:rPr>
              <w:t>“Il sistema periodico”, per scoprire come la figura del chimico, del prigioniero nel Lager e dello scrittore siano tra loro inscindibili. E‘ un esperimento “letterario”, assolutamente unico, con il quale Levi apre al lettore le porte del suo laboratorio ma, tra provette e sostanze, gli consente di assistere non solo alla trasformazione della materia; lo rende testimone della sua esperienza tragica nella storia dell’umanità.</w:t>
            </w:r>
          </w:p>
        </w:tc>
      </w:tr>
      <w:tr w:rsidR="00CE0E41" w:rsidRPr="009124C2" w14:paraId="14CE0752" w14:textId="77777777" w:rsidTr="005E73CA">
        <w:trPr>
          <w:trHeight w:val="567"/>
        </w:trPr>
        <w:tc>
          <w:tcPr>
            <w:tcW w:w="385" w:type="dxa"/>
            <w:vAlign w:val="center"/>
          </w:tcPr>
          <w:p w14:paraId="4A378FF4" w14:textId="77777777" w:rsidR="00CE0E41" w:rsidRPr="009124C2" w:rsidRDefault="00CE0E41" w:rsidP="005E73CA">
            <w:pPr>
              <w:jc w:val="center"/>
              <w:rPr>
                <w:rFonts w:cs="Arial"/>
                <w:b/>
                <w:bCs/>
                <w:sz w:val="22"/>
                <w:szCs w:val="22"/>
              </w:rPr>
            </w:pPr>
            <w:r w:rsidRPr="009124C2">
              <w:rPr>
                <w:rFonts w:cs="Arial"/>
                <w:b/>
                <w:bCs/>
                <w:sz w:val="22"/>
                <w:szCs w:val="22"/>
              </w:rPr>
              <w:t>2</w:t>
            </w:r>
          </w:p>
        </w:tc>
        <w:tc>
          <w:tcPr>
            <w:tcW w:w="1639" w:type="dxa"/>
            <w:vAlign w:val="center"/>
          </w:tcPr>
          <w:p w14:paraId="509A4E7E" w14:textId="2E9D47D6" w:rsidR="00CE0E41" w:rsidRPr="009124C2" w:rsidRDefault="00F17B2A" w:rsidP="005E73CA">
            <w:pPr>
              <w:ind w:left="57"/>
              <w:jc w:val="center"/>
              <w:rPr>
                <w:sz w:val="22"/>
                <w:szCs w:val="22"/>
              </w:rPr>
            </w:pPr>
            <w:r>
              <w:rPr>
                <w:sz w:val="22"/>
                <w:szCs w:val="22"/>
              </w:rPr>
              <w:t>06.11.2024</w:t>
            </w:r>
          </w:p>
        </w:tc>
        <w:tc>
          <w:tcPr>
            <w:tcW w:w="7487" w:type="dxa"/>
            <w:vAlign w:val="center"/>
          </w:tcPr>
          <w:p w14:paraId="10E8655A" w14:textId="216697CB" w:rsidR="002B0AB6" w:rsidRPr="002B0AB6" w:rsidRDefault="002B0AB6" w:rsidP="002B0AB6">
            <w:pPr>
              <w:rPr>
                <w:rFonts w:cs="Arial"/>
                <w:sz w:val="22"/>
                <w:szCs w:val="22"/>
              </w:rPr>
            </w:pPr>
            <w:r w:rsidRPr="002B0AB6">
              <w:rPr>
                <w:rFonts w:cs="Arial"/>
                <w:sz w:val="22"/>
                <w:szCs w:val="22"/>
              </w:rPr>
              <w:t>Primo Levi: lettura di alcune pagine da “I sommersi e i salvati” e l’”Asimmetria e la vita”. L’asimmetria</w:t>
            </w:r>
            <w:r>
              <w:rPr>
                <w:rFonts w:cs="Arial"/>
                <w:sz w:val="22"/>
                <w:szCs w:val="22"/>
              </w:rPr>
              <w:t>,</w:t>
            </w:r>
            <w:r w:rsidRPr="002B0AB6">
              <w:rPr>
                <w:rFonts w:cs="Arial"/>
                <w:sz w:val="22"/>
                <w:szCs w:val="22"/>
              </w:rPr>
              <w:t xml:space="preserve"> caratteristica affascinante </w:t>
            </w:r>
            <w:r>
              <w:rPr>
                <w:rFonts w:cs="Arial"/>
                <w:sz w:val="22"/>
                <w:szCs w:val="22"/>
              </w:rPr>
              <w:t>n</w:t>
            </w:r>
            <w:r w:rsidRPr="002B0AB6">
              <w:rPr>
                <w:rFonts w:cs="Arial"/>
                <w:sz w:val="22"/>
                <w:szCs w:val="22"/>
              </w:rPr>
              <w:t>elle molecole biologiche, “i protagonisti del mondo vivente” (amminoacidi, carboidrati, DNA), a loro si deve la vita stessa.</w:t>
            </w:r>
          </w:p>
          <w:p w14:paraId="3E84EE49" w14:textId="4D0C17EE" w:rsidR="002B0AB6" w:rsidRPr="002B0AB6" w:rsidRDefault="002B0AB6" w:rsidP="002B0AB6">
            <w:pPr>
              <w:rPr>
                <w:rFonts w:cs="Arial"/>
                <w:sz w:val="22"/>
                <w:szCs w:val="22"/>
              </w:rPr>
            </w:pPr>
            <w:r>
              <w:rPr>
                <w:rFonts w:cs="Arial"/>
                <w:sz w:val="22"/>
                <w:szCs w:val="22"/>
              </w:rPr>
              <w:t>Ma il</w:t>
            </w:r>
            <w:r w:rsidRPr="002B0AB6">
              <w:rPr>
                <w:rFonts w:cs="Arial"/>
                <w:sz w:val="22"/>
                <w:szCs w:val="22"/>
              </w:rPr>
              <w:t xml:space="preserve"> tema dell’asimmetria Levi lo individua nella sua esperienza del Lager, </w:t>
            </w:r>
            <w:r>
              <w:rPr>
                <w:rFonts w:cs="Arial"/>
                <w:sz w:val="22"/>
                <w:szCs w:val="22"/>
              </w:rPr>
              <w:t>dove</w:t>
            </w:r>
            <w:r w:rsidRPr="002B0AB6">
              <w:rPr>
                <w:rFonts w:cs="Arial"/>
                <w:sz w:val="22"/>
                <w:szCs w:val="22"/>
              </w:rPr>
              <w:t xml:space="preserve"> il rapporto tra razionalità e irrazionalità viene messo a dura prova. Nel campo di concentramento l’asimmetria è sinonimo di prepotenza, </w:t>
            </w:r>
            <w:r w:rsidRPr="002B0AB6">
              <w:rPr>
                <w:rFonts w:cs="Arial"/>
                <w:sz w:val="22"/>
                <w:szCs w:val="22"/>
              </w:rPr>
              <w:lastRenderedPageBreak/>
              <w:t xml:space="preserve">ingiustizia e tragedia; si individua nella coesistenza dei “sommersi” e dei “salvati”. E lui, Primo Levi, avendo fatto parte della schiera dei secondi, ne diventa un testimone.  </w:t>
            </w:r>
          </w:p>
          <w:p w14:paraId="4AC22338" w14:textId="3069270E" w:rsidR="00CE0E41" w:rsidRPr="00B64D67" w:rsidRDefault="00CE0E41" w:rsidP="002B0AB6">
            <w:pPr>
              <w:rPr>
                <w:rFonts w:cs="Arial"/>
                <w:sz w:val="22"/>
                <w:szCs w:val="22"/>
              </w:rPr>
            </w:pPr>
          </w:p>
        </w:tc>
      </w:tr>
      <w:tr w:rsidR="00CE0E41" w:rsidRPr="009124C2" w14:paraId="638AFA5D" w14:textId="77777777" w:rsidTr="005E73CA">
        <w:trPr>
          <w:trHeight w:val="567"/>
        </w:trPr>
        <w:tc>
          <w:tcPr>
            <w:tcW w:w="385" w:type="dxa"/>
            <w:vAlign w:val="center"/>
          </w:tcPr>
          <w:p w14:paraId="3EFB7E73" w14:textId="77777777" w:rsidR="00CE0E41" w:rsidRPr="009124C2" w:rsidRDefault="00CE0E41" w:rsidP="005E73CA">
            <w:pPr>
              <w:jc w:val="center"/>
              <w:rPr>
                <w:rFonts w:cs="Arial"/>
                <w:b/>
                <w:bCs/>
                <w:sz w:val="22"/>
                <w:szCs w:val="22"/>
              </w:rPr>
            </w:pPr>
            <w:r w:rsidRPr="009124C2">
              <w:rPr>
                <w:rFonts w:cs="Arial"/>
                <w:b/>
                <w:bCs/>
                <w:sz w:val="22"/>
                <w:szCs w:val="22"/>
              </w:rPr>
              <w:lastRenderedPageBreak/>
              <w:t>3</w:t>
            </w:r>
          </w:p>
        </w:tc>
        <w:tc>
          <w:tcPr>
            <w:tcW w:w="1639" w:type="dxa"/>
            <w:vAlign w:val="center"/>
          </w:tcPr>
          <w:p w14:paraId="512EDB51" w14:textId="558340B2" w:rsidR="00CE0E41" w:rsidRPr="009124C2" w:rsidRDefault="00F17B2A" w:rsidP="005E73CA">
            <w:pPr>
              <w:ind w:left="57"/>
              <w:jc w:val="center"/>
              <w:rPr>
                <w:sz w:val="22"/>
                <w:szCs w:val="22"/>
              </w:rPr>
            </w:pPr>
            <w:r>
              <w:rPr>
                <w:sz w:val="22"/>
                <w:szCs w:val="22"/>
              </w:rPr>
              <w:t>13.11.2024</w:t>
            </w:r>
          </w:p>
        </w:tc>
        <w:tc>
          <w:tcPr>
            <w:tcW w:w="7487" w:type="dxa"/>
            <w:vAlign w:val="center"/>
          </w:tcPr>
          <w:p w14:paraId="584271A5" w14:textId="4238E922" w:rsidR="002B0AB6" w:rsidRPr="002B0AB6" w:rsidRDefault="002B0AB6" w:rsidP="002B0AB6">
            <w:pPr>
              <w:pStyle w:val="NormaleWeb"/>
              <w:spacing w:before="200" w:after="0" w:line="216" w:lineRule="auto"/>
              <w:rPr>
                <w:rFonts w:ascii="Arial" w:eastAsia="Times New Roman" w:hAnsi="Arial" w:cs="Arial"/>
                <w:kern w:val="0"/>
                <w:sz w:val="22"/>
                <w:szCs w:val="22"/>
              </w:rPr>
            </w:pPr>
            <w:r w:rsidRPr="002B0AB6">
              <w:rPr>
                <w:rFonts w:ascii="Arial" w:hAnsi="Arial" w:cs="Arial"/>
                <w:sz w:val="22"/>
                <w:szCs w:val="22"/>
              </w:rPr>
              <w:t xml:space="preserve">Rachel Carson: le esperienze personali, a partire dall’infanzia, che condizionano la sua passione per le scienze e per la scrittura divulgativa; </w:t>
            </w:r>
            <w:r w:rsidRPr="002B0AB6">
              <w:rPr>
                <w:rFonts w:ascii="Arial" w:eastAsia="Times New Roman" w:hAnsi="Arial" w:cs="Arial"/>
                <w:color w:val="000000"/>
                <w:kern w:val="24"/>
                <w:sz w:val="22"/>
                <w:szCs w:val="22"/>
              </w:rPr>
              <w:t>l’Oceano al centro della prima produzione letteraria della Carson: perché tanto interesse?</w:t>
            </w:r>
          </w:p>
          <w:p w14:paraId="0DA08E97" w14:textId="080EABCC" w:rsidR="00CE0E41" w:rsidRPr="002B0AB6" w:rsidRDefault="002B0AB6" w:rsidP="002B0AB6">
            <w:pPr>
              <w:rPr>
                <w:rFonts w:cs="Arial"/>
                <w:sz w:val="22"/>
                <w:szCs w:val="22"/>
              </w:rPr>
            </w:pPr>
            <w:r w:rsidRPr="002B0AB6">
              <w:rPr>
                <w:rFonts w:cs="Arial"/>
                <w:sz w:val="22"/>
                <w:szCs w:val="22"/>
              </w:rPr>
              <w:t>Lettura di alcuni passaggi da “Primavera silenziosa”: la documentazione dettagliata delle conseguenze provocate dall’uso crescente di insetticidi (DDT in particolare) fanno del libro una tappa fondamentale dell’ambientalismo. Il compito è duplice: portare gli argomenti ambientali all’attenzione dell’industria e del governo e farli conoscere anche al pubblico, affinché ciascuno si schieri per la salvezza della Terra.</w:t>
            </w:r>
          </w:p>
        </w:tc>
      </w:tr>
      <w:tr w:rsidR="00CE0E41" w:rsidRPr="009124C2" w14:paraId="4099DA0F" w14:textId="77777777" w:rsidTr="005E73CA">
        <w:trPr>
          <w:trHeight w:val="567"/>
        </w:trPr>
        <w:tc>
          <w:tcPr>
            <w:tcW w:w="385" w:type="dxa"/>
            <w:vAlign w:val="center"/>
          </w:tcPr>
          <w:p w14:paraId="65B3B4DF" w14:textId="77777777" w:rsidR="00CE0E41" w:rsidRPr="009124C2" w:rsidRDefault="00CE0E41" w:rsidP="005E73CA">
            <w:pPr>
              <w:jc w:val="center"/>
              <w:rPr>
                <w:rFonts w:cs="Arial"/>
                <w:b/>
                <w:bCs/>
                <w:sz w:val="22"/>
                <w:szCs w:val="22"/>
              </w:rPr>
            </w:pPr>
            <w:r w:rsidRPr="009124C2">
              <w:rPr>
                <w:rFonts w:cs="Arial"/>
                <w:b/>
                <w:bCs/>
                <w:sz w:val="22"/>
                <w:szCs w:val="22"/>
              </w:rPr>
              <w:t>4</w:t>
            </w:r>
          </w:p>
        </w:tc>
        <w:tc>
          <w:tcPr>
            <w:tcW w:w="1639" w:type="dxa"/>
            <w:vAlign w:val="center"/>
          </w:tcPr>
          <w:p w14:paraId="3A2ECF37" w14:textId="2308B961" w:rsidR="00CE0E41" w:rsidRPr="00EB4BE2" w:rsidRDefault="00F17B2A" w:rsidP="005E73CA">
            <w:pPr>
              <w:jc w:val="center"/>
              <w:rPr>
                <w:sz w:val="22"/>
                <w:szCs w:val="22"/>
              </w:rPr>
            </w:pPr>
            <w:r>
              <w:rPr>
                <w:sz w:val="22"/>
                <w:szCs w:val="22"/>
              </w:rPr>
              <w:t>20.11.2024</w:t>
            </w:r>
          </w:p>
        </w:tc>
        <w:tc>
          <w:tcPr>
            <w:tcW w:w="7487" w:type="dxa"/>
            <w:vAlign w:val="center"/>
          </w:tcPr>
          <w:p w14:paraId="43DB861E" w14:textId="58E11F0C" w:rsidR="00AC28FE" w:rsidRDefault="00AC28FE" w:rsidP="00AC28FE">
            <w:pPr>
              <w:rPr>
                <w:rFonts w:cs="Arial"/>
                <w:sz w:val="22"/>
                <w:szCs w:val="22"/>
              </w:rPr>
            </w:pPr>
            <w:r>
              <w:rPr>
                <w:rFonts w:cs="Arial"/>
                <w:sz w:val="22"/>
                <w:szCs w:val="22"/>
              </w:rPr>
              <w:t xml:space="preserve">Oliver Sacks: Lettura di alcuni passaggi da “Zio tungsteno”; sono pagine in cui l’autore ripercorre momenti della sua adolescenza, trascorsa in gran parte nel suo laboratorio di chimica, allestito artigianalmente. Una passione quella coltivata in questa fase, seme della curiosità che rimarrà inalterata anche da adulto, medico neurologo. </w:t>
            </w:r>
          </w:p>
          <w:p w14:paraId="30D042A7" w14:textId="396CFE2D" w:rsidR="00CE0E41" w:rsidRPr="00B64D67" w:rsidRDefault="00AC28FE" w:rsidP="00AC28FE">
            <w:pPr>
              <w:rPr>
                <w:rFonts w:cs="Arial"/>
                <w:sz w:val="22"/>
                <w:szCs w:val="22"/>
              </w:rPr>
            </w:pPr>
            <w:r>
              <w:rPr>
                <w:rFonts w:cs="Arial"/>
                <w:sz w:val="22"/>
                <w:szCs w:val="22"/>
              </w:rPr>
              <w:t>Lettura di alcuni passaggi da “L’uomo che scambiò sua moglie per un cappello”: essere a contatto con la malattia significa per Sacks osservare i propri pazienti, porsi continue domande. Ogni paziente ha una storia unica, che nel libro ci racconta, come si trattasse di “viaggiatori diretti verso terre inimmaginabili, terre di cui non avremmo idea, che non potremmo raffigurarci”.</w:t>
            </w:r>
          </w:p>
        </w:tc>
      </w:tr>
      <w:tr w:rsidR="00CE0E41" w:rsidRPr="009124C2" w14:paraId="5E54F49D" w14:textId="77777777" w:rsidTr="005E73CA">
        <w:trPr>
          <w:trHeight w:val="567"/>
        </w:trPr>
        <w:tc>
          <w:tcPr>
            <w:tcW w:w="385" w:type="dxa"/>
            <w:vAlign w:val="center"/>
          </w:tcPr>
          <w:p w14:paraId="694F3FAC" w14:textId="77777777" w:rsidR="00CE0E41" w:rsidRPr="009124C2" w:rsidRDefault="00CE0E41" w:rsidP="005E73CA">
            <w:pPr>
              <w:jc w:val="center"/>
              <w:rPr>
                <w:rFonts w:cs="Arial"/>
                <w:b/>
                <w:bCs/>
                <w:sz w:val="22"/>
                <w:szCs w:val="22"/>
              </w:rPr>
            </w:pPr>
            <w:r>
              <w:rPr>
                <w:rFonts w:cs="Arial"/>
                <w:b/>
                <w:bCs/>
                <w:sz w:val="22"/>
                <w:szCs w:val="22"/>
              </w:rPr>
              <w:t>5</w:t>
            </w:r>
          </w:p>
        </w:tc>
        <w:tc>
          <w:tcPr>
            <w:tcW w:w="1639" w:type="dxa"/>
            <w:vAlign w:val="center"/>
          </w:tcPr>
          <w:p w14:paraId="204A9B9A" w14:textId="28996988" w:rsidR="00CE0E41" w:rsidRPr="009124C2" w:rsidRDefault="00F17B2A" w:rsidP="005E73CA">
            <w:pPr>
              <w:ind w:left="57"/>
              <w:jc w:val="center"/>
              <w:rPr>
                <w:sz w:val="22"/>
                <w:szCs w:val="22"/>
              </w:rPr>
            </w:pPr>
            <w:r>
              <w:rPr>
                <w:sz w:val="22"/>
                <w:szCs w:val="22"/>
              </w:rPr>
              <w:t>27.11.2024</w:t>
            </w:r>
          </w:p>
        </w:tc>
        <w:tc>
          <w:tcPr>
            <w:tcW w:w="7487" w:type="dxa"/>
            <w:vAlign w:val="center"/>
          </w:tcPr>
          <w:p w14:paraId="469F4A5F" w14:textId="6038DD58" w:rsidR="00AC28FE" w:rsidRDefault="00AC28FE" w:rsidP="00AC28FE">
            <w:pPr>
              <w:rPr>
                <w:rFonts w:cs="Arial"/>
                <w:sz w:val="22"/>
                <w:szCs w:val="22"/>
              </w:rPr>
            </w:pPr>
            <w:r>
              <w:rPr>
                <w:rFonts w:cs="Arial"/>
                <w:sz w:val="22"/>
                <w:szCs w:val="22"/>
              </w:rPr>
              <w:t xml:space="preserve">“La tribù degli alberi” di Stefano Mancuso: il neurobiologo vegetale sceglie il racconto come forma narrativa, a metà tra la fiaba e il racconto epico. Non vuole affatto essere una semplificazione, piuttosto una scelta accattivante per introdurre il lettore con leggerezza, senza mancare di rigore scientifico, nel mondo degli esseri vegetali. </w:t>
            </w:r>
          </w:p>
          <w:p w14:paraId="69402EEC" w14:textId="67F4FAAC" w:rsidR="00CE0E41" w:rsidRPr="00AC28FE" w:rsidRDefault="00AC28FE" w:rsidP="00AC28FE">
            <w:pPr>
              <w:rPr>
                <w:rFonts w:cs="Arial"/>
                <w:sz w:val="22"/>
                <w:szCs w:val="22"/>
              </w:rPr>
            </w:pPr>
            <w:r>
              <w:rPr>
                <w:rFonts w:cs="Arial"/>
                <w:sz w:val="22"/>
                <w:szCs w:val="22"/>
              </w:rPr>
              <w:t>La lettura di alcuni passaggi può rappresentare, anche in questo caso, un’occasione di riflessione, che induce il lettore a porsi domande e a modificare punto di osservazione. Si ha modo di entrare in un viaggio affascinante, alla scoperta delle interazioni che le piante stabiliscono con tutti gli altri esseri viventi.</w:t>
            </w:r>
            <w:r>
              <w:rPr>
                <w:rFonts w:ascii="Segoe UI" w:hAnsi="Segoe UI" w:cs="Segoe UI"/>
                <w:color w:val="3A3A3A"/>
                <w:sz w:val="26"/>
                <w:szCs w:val="26"/>
                <w:shd w:val="clear" w:color="auto" w:fill="F9F9F9"/>
              </w:rPr>
              <w:t> </w:t>
            </w:r>
          </w:p>
        </w:tc>
      </w:tr>
    </w:tbl>
    <w:p w14:paraId="5C7D55D2" w14:textId="77777777" w:rsidR="00CE0E41" w:rsidRPr="007E6AB1" w:rsidRDefault="00CE0E41" w:rsidP="00CE0E41">
      <w:pPr>
        <w:rPr>
          <w:rFonts w:ascii="Times New Roman" w:hAnsi="Times New Roman"/>
        </w:rPr>
      </w:pPr>
    </w:p>
    <w:p w14:paraId="4F524436" w14:textId="77777777" w:rsidR="00CE0E41" w:rsidRDefault="00CE0E41" w:rsidP="00CE0E41">
      <w:pPr>
        <w:rPr>
          <w:b/>
          <w:sz w:val="24"/>
        </w:rPr>
      </w:pPr>
    </w:p>
    <w:p w14:paraId="220FAD2D" w14:textId="77777777" w:rsidR="00CE0E41" w:rsidRPr="0096636E" w:rsidRDefault="00CE0E41" w:rsidP="00CE0E41">
      <w:pPr>
        <w:rPr>
          <w:b/>
          <w:sz w:val="24"/>
        </w:rPr>
      </w:pPr>
    </w:p>
    <w:p w14:paraId="4E735DDB" w14:textId="77777777" w:rsidR="00CE0E41" w:rsidRPr="00523CC4" w:rsidRDefault="00CE0E41" w:rsidP="00CE0E41">
      <w:pPr>
        <w:rPr>
          <w:sz w:val="22"/>
          <w:szCs w:val="22"/>
        </w:rPr>
      </w:pPr>
    </w:p>
    <w:p w14:paraId="68E223C5" w14:textId="77777777" w:rsidR="00CE0E41" w:rsidRDefault="00CE0E41" w:rsidP="00CE0E41">
      <w:pPr>
        <w:rPr>
          <w:sz w:val="20"/>
          <w:szCs w:val="20"/>
        </w:rPr>
      </w:pPr>
    </w:p>
    <w:p w14:paraId="282D5986" w14:textId="477A2F65" w:rsidR="00CE0E41" w:rsidRDefault="00AC28FE">
      <w:r>
        <w:t xml:space="preserve"> </w:t>
      </w:r>
    </w:p>
    <w:sectPr w:rsidR="00CE0E41"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05C39"/>
    <w:rsid w:val="00063365"/>
    <w:rsid w:val="0006714E"/>
    <w:rsid w:val="0007529D"/>
    <w:rsid w:val="000E5061"/>
    <w:rsid w:val="001252B8"/>
    <w:rsid w:val="001B3A39"/>
    <w:rsid w:val="00262A85"/>
    <w:rsid w:val="002B0AB6"/>
    <w:rsid w:val="00422C2B"/>
    <w:rsid w:val="00437D8A"/>
    <w:rsid w:val="004657E0"/>
    <w:rsid w:val="00565751"/>
    <w:rsid w:val="00591123"/>
    <w:rsid w:val="005E73CA"/>
    <w:rsid w:val="007605AB"/>
    <w:rsid w:val="007E683C"/>
    <w:rsid w:val="00967B0C"/>
    <w:rsid w:val="00AC28FE"/>
    <w:rsid w:val="00B367F0"/>
    <w:rsid w:val="00B64D67"/>
    <w:rsid w:val="00C8011A"/>
    <w:rsid w:val="00CB6454"/>
    <w:rsid w:val="00CE0E41"/>
    <w:rsid w:val="00E17078"/>
    <w:rsid w:val="00E60252"/>
    <w:rsid w:val="00F17B2A"/>
    <w:rsid w:val="00F90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styleId="NormaleWeb">
    <w:name w:val="Normal (Web)"/>
    <w:basedOn w:val="Normale"/>
    <w:uiPriority w:val="99"/>
    <w:rsid w:val="00F17B2A"/>
    <w:pPr>
      <w:widowControl w:val="0"/>
      <w:suppressAutoHyphens/>
      <w:spacing w:before="120" w:after="216"/>
    </w:pPr>
    <w:rPr>
      <w:rFonts w:ascii="Times New Roman" w:eastAsia="Arial Unicode MS"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662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4400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2024-07-24T14:41:00Z</dcterms:created>
  <dcterms:modified xsi:type="dcterms:W3CDTF">2024-07-24T14:41:00Z</dcterms:modified>
</cp:coreProperties>
</file>