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2D6DA36"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F90018">
        <w:rPr>
          <w:b/>
          <w:bCs/>
          <w:sz w:val="44"/>
        </w:rPr>
        <w:t>4</w:t>
      </w:r>
      <w:r>
        <w:rPr>
          <w:b/>
          <w:bCs/>
          <w:sz w:val="44"/>
        </w:rPr>
        <w:t>/2</w:t>
      </w:r>
      <w:r w:rsidR="00F90018">
        <w:rPr>
          <w:b/>
          <w:bCs/>
          <w:sz w:val="44"/>
        </w:rPr>
        <w:t>5</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38"/>
        <w:gridCol w:w="709"/>
        <w:gridCol w:w="7087"/>
      </w:tblGrid>
      <w:tr w:rsidR="005E73CA" w:rsidRPr="00F028A8" w14:paraId="1E942FA0" w14:textId="77777777" w:rsidTr="00F90018">
        <w:trPr>
          <w:trHeight w:val="830"/>
        </w:trPr>
        <w:tc>
          <w:tcPr>
            <w:tcW w:w="1838"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6BFA9584" w:rsidR="005E73CA" w:rsidRPr="009124C2" w:rsidRDefault="00491B0D" w:rsidP="00CB3121">
            <w:pPr>
              <w:jc w:val="center"/>
              <w:rPr>
                <w:b/>
                <w:sz w:val="40"/>
                <w:szCs w:val="40"/>
              </w:rPr>
            </w:pPr>
            <w:r>
              <w:rPr>
                <w:b/>
                <w:sz w:val="40"/>
                <w:szCs w:val="40"/>
              </w:rPr>
              <w:t>49</w:t>
            </w:r>
          </w:p>
        </w:tc>
        <w:tc>
          <w:tcPr>
            <w:tcW w:w="7087" w:type="dxa"/>
            <w:vAlign w:val="center"/>
          </w:tcPr>
          <w:p w14:paraId="47AB3DF8" w14:textId="7943CDAA" w:rsidR="005E73CA" w:rsidRPr="00491B0D" w:rsidRDefault="00491B0D" w:rsidP="00491B0D">
            <w:pPr>
              <w:jc w:val="center"/>
              <w:rPr>
                <w:rFonts w:cs="Arial"/>
                <w:b/>
                <w:bCs/>
                <w:i/>
                <w:iCs/>
                <w:color w:val="000000"/>
                <w:sz w:val="32"/>
                <w:szCs w:val="32"/>
              </w:rPr>
            </w:pPr>
            <w:r w:rsidRPr="00491B0D">
              <w:rPr>
                <w:rFonts w:cs="Arial"/>
                <w:b/>
                <w:bCs/>
                <w:i/>
                <w:iCs/>
                <w:color w:val="000000"/>
                <w:sz w:val="32"/>
                <w:szCs w:val="32"/>
              </w:rPr>
              <w:t>CAPOLAVORI SVELATI</w:t>
            </w:r>
            <w:r w:rsidRPr="00491B0D">
              <w:rPr>
                <w:rFonts w:cs="Arial"/>
                <w:b/>
                <w:bCs/>
                <w:i/>
                <w:iCs/>
                <w:color w:val="FF0000"/>
                <w:sz w:val="32"/>
                <w:szCs w:val="32"/>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5017B414" w:rsidR="00CE0E41" w:rsidRPr="00491B0D" w:rsidRDefault="00491B0D" w:rsidP="00491B0D">
            <w:pPr>
              <w:rPr>
                <w:rFonts w:cs="Arial"/>
                <w:b/>
                <w:bCs/>
                <w:sz w:val="22"/>
                <w:szCs w:val="22"/>
              </w:rPr>
            </w:pPr>
            <w:r w:rsidRPr="00491B0D">
              <w:rPr>
                <w:rFonts w:cs="Arial"/>
                <w:b/>
                <w:bCs/>
                <w:sz w:val="22"/>
                <w:szCs w:val="22"/>
              </w:rPr>
              <w:t>Delfina Fagnani Sesti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660DA994" w:rsidR="00CE0E41" w:rsidRPr="00491B0D" w:rsidRDefault="00491B0D" w:rsidP="00CB3121">
            <w:pPr>
              <w:rPr>
                <w:sz w:val="22"/>
                <w:szCs w:val="22"/>
              </w:rPr>
            </w:pPr>
            <w:r w:rsidRPr="00491B0D">
              <w:rPr>
                <w:rFonts w:cs="Arial"/>
                <w:sz w:val="22"/>
                <w:szCs w:val="22"/>
              </w:rPr>
              <w:t>Martedì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31429E95" w:rsidR="00CE0E41" w:rsidRPr="00491B0D" w:rsidRDefault="00E17078" w:rsidP="00CB3121">
            <w:pPr>
              <w:rPr>
                <w:sz w:val="22"/>
                <w:szCs w:val="22"/>
              </w:rPr>
            </w:pPr>
            <w:r w:rsidRPr="00491B0D">
              <w:rPr>
                <w:sz w:val="22"/>
                <w:szCs w:val="22"/>
              </w:rPr>
              <w:t>15.00</w:t>
            </w:r>
            <w:r w:rsidR="00491B0D" w:rsidRPr="00491B0D">
              <w:rPr>
                <w:sz w:val="22"/>
                <w:szCs w:val="22"/>
              </w:rPr>
              <w:t xml:space="preserve"> </w:t>
            </w:r>
            <w:r w:rsidRPr="00491B0D">
              <w:rPr>
                <w:sz w:val="22"/>
                <w:szCs w:val="22"/>
              </w:rPr>
              <w:t>-17.15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4018B492" w14:textId="3A2FC4A6" w:rsidR="00984255" w:rsidRDefault="00984255" w:rsidP="00CB3121">
            <w:pPr>
              <w:rPr>
                <w:rFonts w:cs="Arial"/>
                <w:sz w:val="22"/>
                <w:szCs w:val="22"/>
              </w:rPr>
            </w:pPr>
            <w:r>
              <w:rPr>
                <w:sz w:val="22"/>
                <w:szCs w:val="22"/>
              </w:rPr>
              <w:t>Martedì</w:t>
            </w:r>
            <w:r w:rsidR="00CE0E41" w:rsidRPr="00491B0D">
              <w:rPr>
                <w:sz w:val="22"/>
                <w:szCs w:val="22"/>
              </w:rPr>
              <w:t xml:space="preserve"> </w:t>
            </w:r>
            <w:r w:rsidR="00491B0D" w:rsidRPr="00491B0D">
              <w:rPr>
                <w:rFonts w:cs="Arial"/>
                <w:sz w:val="22"/>
                <w:szCs w:val="22"/>
              </w:rPr>
              <w:t>24 settembre 2024</w:t>
            </w:r>
            <w:r>
              <w:rPr>
                <w:rFonts w:cs="Arial"/>
                <w:sz w:val="22"/>
                <w:szCs w:val="22"/>
              </w:rPr>
              <w:t xml:space="preserve"> Santa Maria Maggiore</w:t>
            </w:r>
          </w:p>
          <w:p w14:paraId="3DBAD418" w14:textId="77777777" w:rsidR="00984255" w:rsidRDefault="00984255" w:rsidP="00CB3121">
            <w:pPr>
              <w:rPr>
                <w:rFonts w:cs="Arial"/>
                <w:sz w:val="22"/>
                <w:szCs w:val="22"/>
              </w:rPr>
            </w:pPr>
          </w:p>
          <w:p w14:paraId="1BBB36A1" w14:textId="7CC6E20C" w:rsidR="00CE0E41" w:rsidRPr="00491B0D" w:rsidRDefault="00491B0D" w:rsidP="00CB3121">
            <w:pPr>
              <w:rPr>
                <w:sz w:val="22"/>
                <w:szCs w:val="22"/>
              </w:rPr>
            </w:pPr>
            <w:r w:rsidRPr="00491B0D">
              <w:rPr>
                <w:rFonts w:cs="Arial"/>
                <w:sz w:val="22"/>
                <w:szCs w:val="22"/>
              </w:rPr>
              <w:t>dal 7 al 28 gennaio 2025 (4 incontri - € 20,00)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4C069228" w:rsidR="00CE0E41" w:rsidRPr="00491B0D" w:rsidRDefault="00491B0D" w:rsidP="00CB3121">
            <w:pPr>
              <w:jc w:val="both"/>
              <w:rPr>
                <w:sz w:val="22"/>
                <w:szCs w:val="22"/>
              </w:rPr>
            </w:pPr>
            <w:r w:rsidRPr="00491B0D">
              <w:rPr>
                <w:rFonts w:cs="Arial"/>
                <w:sz w:val="22"/>
                <w:szCs w:val="22"/>
              </w:rPr>
              <w:t>La Porta, via Papa Giovanni XXIII,30 +</w:t>
            </w:r>
            <w:r w:rsidRPr="00491B0D">
              <w:rPr>
                <w:rFonts w:cs="Arial"/>
                <w:b/>
                <w:bCs/>
                <w:sz w:val="22"/>
                <w:szCs w:val="22"/>
              </w:rPr>
              <w:t xml:space="preserve"> </w:t>
            </w:r>
            <w:r w:rsidRPr="00491B0D">
              <w:rPr>
                <w:rFonts w:cs="Arial"/>
                <w:sz w:val="22"/>
                <w:szCs w:val="22"/>
              </w:rPr>
              <w:t>Santa Maria Maggiore (prima visita)</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0B19E784" w:rsidR="00CE0E41" w:rsidRPr="00491B0D" w:rsidRDefault="00491B0D" w:rsidP="007E683C">
            <w:pPr>
              <w:jc w:val="both"/>
              <w:rPr>
                <w:rFonts w:cs="Arial"/>
                <w:b/>
                <w:bCs/>
                <w:sz w:val="22"/>
                <w:szCs w:val="22"/>
              </w:rPr>
            </w:pPr>
            <w:r w:rsidRPr="00491B0D">
              <w:rPr>
                <w:rFonts w:cs="Arial"/>
                <w:b/>
                <w:bCs/>
                <w:sz w:val="22"/>
                <w:szCs w:val="22"/>
              </w:rPr>
              <w:t xml:space="preserve">STORIA DELL’ARTE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36500B39" w14:textId="77777777" w:rsidR="00491B0D" w:rsidRPr="00491B0D" w:rsidRDefault="00491B0D" w:rsidP="00491B0D">
            <w:pPr>
              <w:jc w:val="both"/>
              <w:rPr>
                <w:rFonts w:cs="Arial"/>
                <w:i/>
                <w:iCs/>
                <w:color w:val="000000"/>
                <w:sz w:val="22"/>
                <w:szCs w:val="22"/>
              </w:rPr>
            </w:pPr>
            <w:r w:rsidRPr="00491B0D">
              <w:rPr>
                <w:rFonts w:cs="Arial"/>
                <w:b/>
                <w:bCs/>
                <w:i/>
                <w:iCs/>
                <w:color w:val="000000"/>
                <w:sz w:val="22"/>
                <w:szCs w:val="22"/>
              </w:rPr>
              <w:t xml:space="preserve">Il corso inizia martedì 24 settembre </w:t>
            </w:r>
            <w:r w:rsidRPr="00491B0D">
              <w:rPr>
                <w:rFonts w:cs="Arial"/>
                <w:i/>
                <w:iCs/>
                <w:color w:val="000000"/>
                <w:sz w:val="22"/>
                <w:szCs w:val="22"/>
              </w:rPr>
              <w:t>con la visita al cantiere di restauro della pala di Camillo Procaccini nell’abside di Santa Maria Maggiore. L’anticipo ha lo scopo di consentire la salita ai ponteggi per una visione molto speciale e ravvicinata dell’antico capolavoro e dei metodi moderni di restauro e conservazione. I rimanenti 4 incontri del mese di gennaio analizzeranno opere di autori importanti (Crivelli, Mantegna, Moroni, …) conservate nel territorio bergamasco con particolare riferimento alle specifiche procedure di restauro elaborate per ottimizzarne conservazione e visione.</w:t>
            </w:r>
          </w:p>
          <w:p w14:paraId="58FFBF83" w14:textId="37CB58E8" w:rsidR="00CE0E41" w:rsidRPr="00491B0D" w:rsidRDefault="00491B0D" w:rsidP="00491B0D">
            <w:pPr>
              <w:pStyle w:val="Corpo"/>
              <w:rPr>
                <w:rFonts w:ascii="Arial Narrow" w:hAnsi="Arial Narrow" w:cs="Arial"/>
                <w:i/>
                <w:iCs/>
              </w:rPr>
            </w:pPr>
            <w:r w:rsidRPr="00491B0D">
              <w:rPr>
                <w:rFonts w:ascii="Arial" w:hAnsi="Arial" w:cs="Arial"/>
                <w:b/>
                <w:bCs/>
                <w:i/>
                <w:iCs/>
                <w:color w:val="212121"/>
              </w:rPr>
              <w:t>N.B.</w:t>
            </w:r>
            <w:r w:rsidRPr="00491B0D">
              <w:rPr>
                <w:rFonts w:ascii="Arial" w:hAnsi="Arial" w:cs="Arial"/>
                <w:i/>
                <w:iCs/>
                <w:color w:val="212121"/>
              </w:rPr>
              <w:t xml:space="preserve"> Le modalità della visita al cantiere di restauro della pala di Procaccini verranno comunicate agli iscritti a cura della segreteria</w:t>
            </w:r>
          </w:p>
        </w:tc>
      </w:tr>
      <w:tr w:rsidR="00CE0E41" w:rsidRPr="009124C2" w14:paraId="13379C1F" w14:textId="77777777" w:rsidTr="00CB3121">
        <w:trPr>
          <w:trHeight w:val="340"/>
        </w:trPr>
        <w:tc>
          <w:tcPr>
            <w:tcW w:w="1728" w:type="dxa"/>
          </w:tcPr>
          <w:p w14:paraId="798EB88B" w14:textId="7BD36E85"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1393C73F" w:rsidR="00CE0E41" w:rsidRPr="009124C2" w:rsidRDefault="00491B0D" w:rsidP="005E73CA">
            <w:pPr>
              <w:ind w:left="57"/>
              <w:jc w:val="center"/>
              <w:rPr>
                <w:sz w:val="22"/>
                <w:szCs w:val="22"/>
              </w:rPr>
            </w:pPr>
            <w:r>
              <w:rPr>
                <w:sz w:val="22"/>
                <w:szCs w:val="22"/>
              </w:rPr>
              <w:t>24.09.2024</w:t>
            </w:r>
          </w:p>
        </w:tc>
        <w:tc>
          <w:tcPr>
            <w:tcW w:w="7487" w:type="dxa"/>
            <w:vAlign w:val="center"/>
          </w:tcPr>
          <w:p w14:paraId="5C2B06AB" w14:textId="6261D24F" w:rsidR="00CE0E41" w:rsidRPr="00491B0D" w:rsidRDefault="00236451" w:rsidP="00CB3121">
            <w:pPr>
              <w:rPr>
                <w:rFonts w:cs="Arial"/>
                <w:sz w:val="20"/>
                <w:szCs w:val="20"/>
              </w:rPr>
            </w:pPr>
            <w:r>
              <w:rPr>
                <w:rFonts w:cs="Arial"/>
                <w:b/>
                <w:bCs/>
                <w:color w:val="000000"/>
                <w:sz w:val="22"/>
                <w:szCs w:val="22"/>
              </w:rPr>
              <w:t xml:space="preserve">Ritrovo ore 15 alla “Domus Magna” via Arena 9, </w:t>
            </w:r>
            <w:r>
              <w:rPr>
                <w:rFonts w:cs="Arial"/>
                <w:color w:val="000000"/>
                <w:sz w:val="22"/>
                <w:szCs w:val="22"/>
              </w:rPr>
              <w:t xml:space="preserve">racconto del lavoro di restauro </w:t>
            </w:r>
            <w:r w:rsidR="00491B0D" w:rsidRPr="00491B0D">
              <w:rPr>
                <w:rFonts w:cs="Arial"/>
                <w:color w:val="000000"/>
                <w:sz w:val="22"/>
                <w:szCs w:val="22"/>
              </w:rPr>
              <w:t xml:space="preserve">della pala di Camillo Procaccini </w:t>
            </w:r>
            <w:r>
              <w:rPr>
                <w:rFonts w:cs="Arial"/>
                <w:color w:val="000000"/>
                <w:sz w:val="22"/>
                <w:szCs w:val="22"/>
              </w:rPr>
              <w:t xml:space="preserve">con spostamento alle ore 16 per la visita in </w:t>
            </w:r>
            <w:r w:rsidR="00491B0D" w:rsidRPr="00491B0D">
              <w:rPr>
                <w:rFonts w:cs="Arial"/>
                <w:color w:val="000000"/>
                <w:sz w:val="22"/>
                <w:szCs w:val="22"/>
              </w:rPr>
              <w:t>Santa Maria Maggiore</w:t>
            </w:r>
            <w:r>
              <w:rPr>
                <w:rFonts w:cs="Arial"/>
                <w:color w:val="000000"/>
                <w:sz w:val="22"/>
                <w:szCs w:val="22"/>
              </w:rPr>
              <w:t>.</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5A7AEEB5" w:rsidR="00CE0E41" w:rsidRPr="009124C2" w:rsidRDefault="00491B0D" w:rsidP="005E73CA">
            <w:pPr>
              <w:ind w:left="57"/>
              <w:jc w:val="center"/>
              <w:rPr>
                <w:sz w:val="22"/>
                <w:szCs w:val="22"/>
              </w:rPr>
            </w:pPr>
            <w:r>
              <w:rPr>
                <w:sz w:val="22"/>
                <w:szCs w:val="22"/>
              </w:rPr>
              <w:t>07.01.2025</w:t>
            </w:r>
          </w:p>
        </w:tc>
        <w:tc>
          <w:tcPr>
            <w:tcW w:w="7487" w:type="dxa"/>
            <w:vAlign w:val="center"/>
          </w:tcPr>
          <w:p w14:paraId="4AC22338" w14:textId="3E3817A4" w:rsidR="00CE0E41" w:rsidRPr="00B64D67" w:rsidRDefault="00CD3863" w:rsidP="00CB3121">
            <w:pPr>
              <w:rPr>
                <w:rFonts w:cs="Arial"/>
                <w:sz w:val="22"/>
                <w:szCs w:val="22"/>
              </w:rPr>
            </w:pPr>
            <w:r w:rsidRPr="00CD3863">
              <w:rPr>
                <w:rFonts w:cs="Arial"/>
                <w:sz w:val="22"/>
                <w:szCs w:val="22"/>
              </w:rPr>
              <w:t>Riepilogo “Introduzione alla Storia del Restauro e al Restauro Moderno”</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3FE153EE" w:rsidR="00CE0E41" w:rsidRPr="009124C2" w:rsidRDefault="00491B0D" w:rsidP="005E73CA">
            <w:pPr>
              <w:ind w:left="57"/>
              <w:jc w:val="center"/>
              <w:rPr>
                <w:sz w:val="22"/>
                <w:szCs w:val="22"/>
              </w:rPr>
            </w:pPr>
            <w:r>
              <w:rPr>
                <w:sz w:val="22"/>
                <w:szCs w:val="22"/>
              </w:rPr>
              <w:t>14.01.2025</w:t>
            </w:r>
          </w:p>
        </w:tc>
        <w:tc>
          <w:tcPr>
            <w:tcW w:w="7487" w:type="dxa"/>
            <w:vAlign w:val="center"/>
          </w:tcPr>
          <w:p w14:paraId="2F1CBF6D" w14:textId="77777777" w:rsidR="00CD3863" w:rsidRPr="00CD3863" w:rsidRDefault="00CD3863" w:rsidP="00CD3863">
            <w:pPr>
              <w:rPr>
                <w:rFonts w:cs="Arial"/>
                <w:sz w:val="22"/>
                <w:szCs w:val="22"/>
              </w:rPr>
            </w:pPr>
            <w:r w:rsidRPr="00CD3863">
              <w:rPr>
                <w:rFonts w:cs="Arial"/>
                <w:sz w:val="22"/>
                <w:szCs w:val="22"/>
              </w:rPr>
              <w:t>Racconto di due significativi interventi su opere del 400 dell’Accademia</w:t>
            </w:r>
          </w:p>
          <w:p w14:paraId="441B40FA" w14:textId="77777777" w:rsidR="00CE0E41" w:rsidRDefault="00CD3863" w:rsidP="00CD3863">
            <w:pPr>
              <w:rPr>
                <w:rFonts w:cs="Arial"/>
                <w:sz w:val="22"/>
                <w:szCs w:val="22"/>
              </w:rPr>
            </w:pPr>
            <w:r w:rsidRPr="00CD3863">
              <w:rPr>
                <w:rFonts w:cs="Arial"/>
                <w:sz w:val="22"/>
                <w:szCs w:val="22"/>
              </w:rPr>
              <w:t>Carrara di Jacopo Bellini e Carlo Crivelli</w:t>
            </w:r>
          </w:p>
          <w:p w14:paraId="0DA08E97" w14:textId="7CE8822D" w:rsidR="00CD3863" w:rsidRPr="00B64D67" w:rsidRDefault="00CD3863" w:rsidP="00CD3863">
            <w:pPr>
              <w:rPr>
                <w:rFonts w:cs="Arial"/>
                <w:sz w:val="22"/>
                <w:szCs w:val="22"/>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12511555" w:rsidR="00CE0E41" w:rsidRPr="00EB4BE2" w:rsidRDefault="00491B0D" w:rsidP="005E73CA">
            <w:pPr>
              <w:jc w:val="center"/>
              <w:rPr>
                <w:sz w:val="22"/>
                <w:szCs w:val="22"/>
              </w:rPr>
            </w:pPr>
            <w:r>
              <w:rPr>
                <w:sz w:val="22"/>
                <w:szCs w:val="22"/>
              </w:rPr>
              <w:t>21.01.2025</w:t>
            </w:r>
            <w:r w:rsidR="00CD3863">
              <w:rPr>
                <w:sz w:val="22"/>
                <w:szCs w:val="22"/>
              </w:rPr>
              <w:t xml:space="preserve">     </w:t>
            </w:r>
          </w:p>
        </w:tc>
        <w:tc>
          <w:tcPr>
            <w:tcW w:w="7487" w:type="dxa"/>
            <w:vAlign w:val="center"/>
          </w:tcPr>
          <w:p w14:paraId="59883068" w14:textId="77777777" w:rsidR="00CD3863" w:rsidRPr="00CD3863" w:rsidRDefault="00CD3863" w:rsidP="00CD3863">
            <w:pPr>
              <w:rPr>
                <w:rFonts w:cs="Arial"/>
                <w:sz w:val="22"/>
                <w:szCs w:val="22"/>
              </w:rPr>
            </w:pPr>
            <w:proofErr w:type="spellStart"/>
            <w:r w:rsidRPr="00CD3863">
              <w:rPr>
                <w:rFonts w:cs="Arial"/>
                <w:sz w:val="22"/>
                <w:szCs w:val="22"/>
              </w:rPr>
              <w:t>G.</w:t>
            </w:r>
            <w:proofErr w:type="gramStart"/>
            <w:r w:rsidRPr="00CD3863">
              <w:rPr>
                <w:rFonts w:cs="Arial"/>
                <w:sz w:val="22"/>
                <w:szCs w:val="22"/>
              </w:rPr>
              <w:t>B.Moroni</w:t>
            </w:r>
            <w:proofErr w:type="spellEnd"/>
            <w:proofErr w:type="gramEnd"/>
            <w:r w:rsidRPr="00CD3863">
              <w:rPr>
                <w:rFonts w:cs="Arial"/>
                <w:sz w:val="22"/>
                <w:szCs w:val="22"/>
              </w:rPr>
              <w:t xml:space="preserve"> : analisi tecnico-stilistica di numerose opere a confronto di</w:t>
            </w:r>
          </w:p>
          <w:p w14:paraId="58B5D98D" w14:textId="77777777" w:rsidR="00CD3863" w:rsidRPr="00CD3863" w:rsidRDefault="00CD3863" w:rsidP="00CD3863">
            <w:pPr>
              <w:rPr>
                <w:rFonts w:cs="Arial"/>
                <w:sz w:val="22"/>
                <w:szCs w:val="22"/>
              </w:rPr>
            </w:pPr>
            <w:r w:rsidRPr="00CD3863">
              <w:rPr>
                <w:rFonts w:cs="Arial"/>
                <w:sz w:val="22"/>
                <w:szCs w:val="22"/>
              </w:rPr>
              <w:t>questo importante artista bergamasco della seconda metà del 500</w:t>
            </w:r>
          </w:p>
          <w:p w14:paraId="62964425" w14:textId="77777777" w:rsidR="00CE0E41" w:rsidRDefault="00CD3863" w:rsidP="00CD3863">
            <w:pPr>
              <w:rPr>
                <w:rFonts w:cs="Arial"/>
                <w:sz w:val="22"/>
                <w:szCs w:val="22"/>
              </w:rPr>
            </w:pPr>
            <w:r w:rsidRPr="00CD3863">
              <w:rPr>
                <w:rFonts w:cs="Arial"/>
                <w:sz w:val="22"/>
                <w:szCs w:val="22"/>
              </w:rPr>
              <w:t>attraverso l’occasione del restauro</w:t>
            </w:r>
          </w:p>
          <w:p w14:paraId="30D042A7" w14:textId="5367D2E8" w:rsidR="00CD3863" w:rsidRPr="00B64D67" w:rsidRDefault="00CD3863" w:rsidP="00CD3863">
            <w:pPr>
              <w:rPr>
                <w:rFonts w:cs="Arial"/>
                <w:sz w:val="22"/>
                <w:szCs w:val="22"/>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51130292" w:rsidR="00CE0E41" w:rsidRPr="009124C2" w:rsidRDefault="00491B0D" w:rsidP="005E73CA">
            <w:pPr>
              <w:ind w:left="57"/>
              <w:jc w:val="center"/>
              <w:rPr>
                <w:sz w:val="22"/>
                <w:szCs w:val="22"/>
              </w:rPr>
            </w:pPr>
            <w:r>
              <w:rPr>
                <w:sz w:val="22"/>
                <w:szCs w:val="22"/>
              </w:rPr>
              <w:t>28.01.2025</w:t>
            </w:r>
            <w:r w:rsidR="00CD3863">
              <w:rPr>
                <w:sz w:val="22"/>
                <w:szCs w:val="22"/>
              </w:rPr>
              <w:t xml:space="preserve"> </w:t>
            </w:r>
          </w:p>
        </w:tc>
        <w:tc>
          <w:tcPr>
            <w:tcW w:w="7487" w:type="dxa"/>
            <w:vAlign w:val="center"/>
          </w:tcPr>
          <w:p w14:paraId="4767DFAE" w14:textId="77777777" w:rsidR="00CD3863" w:rsidRPr="00CD3863" w:rsidRDefault="00CD3863" w:rsidP="00CD3863">
            <w:pPr>
              <w:rPr>
                <w:rFonts w:cs="Arial"/>
                <w:sz w:val="22"/>
                <w:szCs w:val="22"/>
              </w:rPr>
            </w:pPr>
            <w:r w:rsidRPr="00CD3863">
              <w:rPr>
                <w:rFonts w:cs="Arial"/>
                <w:sz w:val="22"/>
                <w:szCs w:val="22"/>
              </w:rPr>
              <w:t>Reportage dei risultati di un lungo ed impegnativo cantiere visitato insieme</w:t>
            </w:r>
          </w:p>
          <w:p w14:paraId="76FCF0C9" w14:textId="77777777" w:rsidR="00CD3863" w:rsidRPr="00CD3863" w:rsidRDefault="00CD3863" w:rsidP="00CD3863">
            <w:pPr>
              <w:rPr>
                <w:rFonts w:cs="Arial"/>
                <w:sz w:val="22"/>
                <w:szCs w:val="22"/>
              </w:rPr>
            </w:pPr>
            <w:r w:rsidRPr="00CD3863">
              <w:rPr>
                <w:rFonts w:cs="Arial"/>
                <w:sz w:val="22"/>
                <w:szCs w:val="22"/>
              </w:rPr>
              <w:t>a settembre</w:t>
            </w:r>
            <w:proofErr w:type="gramStart"/>
            <w:r w:rsidRPr="00CD3863">
              <w:rPr>
                <w:rFonts w:cs="Arial"/>
                <w:sz w:val="22"/>
                <w:szCs w:val="22"/>
              </w:rPr>
              <w:t>: ”Il</w:t>
            </w:r>
            <w:proofErr w:type="gramEnd"/>
            <w:r w:rsidRPr="00CD3863">
              <w:rPr>
                <w:rFonts w:cs="Arial"/>
                <w:sz w:val="22"/>
                <w:szCs w:val="22"/>
              </w:rPr>
              <w:t xml:space="preserve"> Sipario si apre su Camillo Procaccini” telero di cm.880x390</w:t>
            </w:r>
          </w:p>
          <w:p w14:paraId="69402EEC" w14:textId="60AE5716" w:rsidR="00CE0E41" w:rsidRPr="00CD3863" w:rsidRDefault="00CD3863" w:rsidP="00CD3863">
            <w:pPr>
              <w:rPr>
                <w:rFonts w:cs="Arial"/>
                <w:sz w:val="22"/>
                <w:szCs w:val="22"/>
              </w:rPr>
            </w:pPr>
            <w:r w:rsidRPr="00CD3863">
              <w:rPr>
                <w:rFonts w:cs="Arial"/>
                <w:sz w:val="22"/>
                <w:szCs w:val="22"/>
              </w:rPr>
              <w:t>posto sulla parete absidale curva della Basilica di Santa Maria Maggiore</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D3863">
      <w:pgSz w:w="11906" w:h="16838"/>
      <w:pgMar w:top="993"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52B8"/>
    <w:rsid w:val="001B3A39"/>
    <w:rsid w:val="00236451"/>
    <w:rsid w:val="00262A85"/>
    <w:rsid w:val="00305D15"/>
    <w:rsid w:val="00422C2B"/>
    <w:rsid w:val="00437D8A"/>
    <w:rsid w:val="00491B0D"/>
    <w:rsid w:val="00565751"/>
    <w:rsid w:val="00591123"/>
    <w:rsid w:val="005E73CA"/>
    <w:rsid w:val="007E683C"/>
    <w:rsid w:val="008923B2"/>
    <w:rsid w:val="008C2B93"/>
    <w:rsid w:val="00967B0C"/>
    <w:rsid w:val="00984255"/>
    <w:rsid w:val="00B64D67"/>
    <w:rsid w:val="00C8011A"/>
    <w:rsid w:val="00CB6454"/>
    <w:rsid w:val="00CD3863"/>
    <w:rsid w:val="00CE0E41"/>
    <w:rsid w:val="00E17078"/>
    <w:rsid w:val="00EA70DE"/>
    <w:rsid w:val="00F90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paragraph" w:styleId="Titolo2">
    <w:name w:val="heading 2"/>
    <w:basedOn w:val="Normale"/>
    <w:next w:val="Normale"/>
    <w:link w:val="Titolo2Carattere"/>
    <w:uiPriority w:val="99"/>
    <w:qFormat/>
    <w:rsid w:val="00491B0D"/>
    <w:pPr>
      <w:keepNext/>
      <w:spacing w:before="240" w:after="60"/>
      <w:outlineLvl w:val="1"/>
    </w:pPr>
    <w:rPr>
      <w:rFonts w:cs="Arial"/>
      <w:b/>
      <w:bCs/>
      <w:i/>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customStyle="1" w:styleId="Titolo2Carattere">
    <w:name w:val="Titolo 2 Carattere"/>
    <w:basedOn w:val="Carpredefinitoparagrafo"/>
    <w:link w:val="Titolo2"/>
    <w:uiPriority w:val="99"/>
    <w:rsid w:val="00491B0D"/>
    <w:rPr>
      <w:rFonts w:ascii="Arial" w:eastAsia="Times New Roman" w:hAnsi="Arial" w:cs="Arial"/>
      <w:b/>
      <w:bCs/>
      <w:i/>
      <w:i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2</cp:revision>
  <dcterms:created xsi:type="dcterms:W3CDTF">2024-09-16T09:57:00Z</dcterms:created>
  <dcterms:modified xsi:type="dcterms:W3CDTF">2024-09-16T09:57:00Z</dcterms:modified>
</cp:coreProperties>
</file>