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0BEEB14F" w:rsidR="005E73CA" w:rsidRPr="009124C2" w:rsidRDefault="00DF4A3A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96</w:t>
            </w:r>
          </w:p>
        </w:tc>
        <w:tc>
          <w:tcPr>
            <w:tcW w:w="7087" w:type="dxa"/>
            <w:vAlign w:val="center"/>
          </w:tcPr>
          <w:p w14:paraId="47AB3DF8" w14:textId="586E0822" w:rsidR="005E73CA" w:rsidRPr="00DF4A3A" w:rsidRDefault="00DF4A3A" w:rsidP="00DF4A3A">
            <w:pPr>
              <w:jc w:val="center"/>
              <w:rPr>
                <w:rFonts w:cs="Arial"/>
                <w:b/>
                <w:i/>
                <w:iCs/>
                <w:sz w:val="32"/>
                <w:szCs w:val="32"/>
              </w:rPr>
            </w:pPr>
            <w:r w:rsidRPr="00DF4A3A">
              <w:rPr>
                <w:rFonts w:cs="Arial"/>
                <w:b/>
                <w:i/>
                <w:iCs/>
                <w:sz w:val="32"/>
                <w:szCs w:val="32"/>
              </w:rPr>
              <w:t xml:space="preserve">IL FIABESCO (E IL MITO) NELL’ARTE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77597B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4482BEB6" w:rsidR="00CE0E41" w:rsidRPr="00DF4A3A" w:rsidRDefault="00DF4A3A" w:rsidP="00823116">
            <w:pPr>
              <w:rPr>
                <w:rFonts w:cs="Arial"/>
                <w:b/>
                <w:sz w:val="22"/>
                <w:szCs w:val="22"/>
              </w:rPr>
            </w:pPr>
            <w:r w:rsidRPr="00DF4A3A">
              <w:rPr>
                <w:rFonts w:cs="Arial"/>
                <w:b/>
                <w:sz w:val="22"/>
                <w:szCs w:val="22"/>
              </w:rPr>
              <w:t>Mario Abati</w:t>
            </w:r>
          </w:p>
        </w:tc>
      </w:tr>
      <w:tr w:rsidR="00CE0E41" w:rsidRPr="009124C2" w14:paraId="0677E990" w14:textId="77777777" w:rsidTr="0077597B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5B8B88D3" w:rsidR="00CE0E41" w:rsidRPr="00DF4A3A" w:rsidRDefault="00DF4A3A" w:rsidP="00823116">
            <w:pPr>
              <w:rPr>
                <w:sz w:val="22"/>
                <w:szCs w:val="22"/>
              </w:rPr>
            </w:pPr>
            <w:r w:rsidRPr="00DF4A3A">
              <w:rPr>
                <w:rFonts w:cs="Arial"/>
                <w:bCs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77597B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DF4A3A" w:rsidRDefault="00E17078" w:rsidP="00823116">
            <w:pPr>
              <w:rPr>
                <w:sz w:val="22"/>
                <w:szCs w:val="22"/>
              </w:rPr>
            </w:pPr>
            <w:r w:rsidRPr="00DF4A3A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77597B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C727128" w:rsidR="00CE0E41" w:rsidRPr="00DF4A3A" w:rsidRDefault="00CE0E41" w:rsidP="00823116">
            <w:pPr>
              <w:rPr>
                <w:rFonts w:cs="Arial"/>
                <w:sz w:val="22"/>
                <w:szCs w:val="22"/>
              </w:rPr>
            </w:pPr>
            <w:r w:rsidRPr="00DF4A3A">
              <w:rPr>
                <w:sz w:val="22"/>
                <w:szCs w:val="22"/>
              </w:rPr>
              <w:t xml:space="preserve">Dal </w:t>
            </w:r>
            <w:r w:rsidR="00DF4A3A" w:rsidRPr="00DF4A3A">
              <w:rPr>
                <w:rFonts w:cs="Arial"/>
                <w:bCs/>
                <w:sz w:val="22"/>
                <w:szCs w:val="22"/>
              </w:rPr>
              <w:t xml:space="preserve">14 marzo all’11 aprile 2025 (5 incontri - </w:t>
            </w:r>
            <w:r w:rsidR="00DF4A3A" w:rsidRPr="00DF4A3A">
              <w:rPr>
                <w:rFonts w:cs="Arial"/>
                <w:sz w:val="22"/>
                <w:szCs w:val="22"/>
              </w:rPr>
              <w:t>€ 20,00)</w:t>
            </w:r>
          </w:p>
        </w:tc>
      </w:tr>
      <w:tr w:rsidR="00CE0E41" w:rsidRPr="009124C2" w14:paraId="44B4C69B" w14:textId="77777777" w:rsidTr="0077597B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35BFB34" w:rsidR="00CE0E41" w:rsidRPr="00DF4A3A" w:rsidRDefault="00DF4A3A" w:rsidP="00823116">
            <w:pPr>
              <w:rPr>
                <w:sz w:val="22"/>
                <w:szCs w:val="22"/>
              </w:rPr>
            </w:pPr>
            <w:r w:rsidRPr="00DF4A3A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77597B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66DB21C2" w:rsidR="00CE0E41" w:rsidRPr="00DF4A3A" w:rsidRDefault="00DF4A3A" w:rsidP="0082311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F4A3A">
              <w:rPr>
                <w:rFonts w:cs="Arial"/>
                <w:b/>
                <w:bCs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77597B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0F6AEB8E" w:rsidR="00CE0E41" w:rsidRPr="00DF4A3A" w:rsidRDefault="00DF4A3A" w:rsidP="00823116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DF4A3A">
              <w:rPr>
                <w:rFonts w:cs="Arial"/>
                <w:i/>
                <w:iCs/>
                <w:sz w:val="22"/>
                <w:szCs w:val="22"/>
              </w:rPr>
              <w:t xml:space="preserve">Diversi artisti si sono ispirati direttamente o indirettamente al mondo incantato delle fiabe interpretando i sogni e le visioni infantili con la mediazione creativa della pittura. Colorismo sgargiante, fantasia interpretativa, soluzioni sorprendenti legate al mondo onirico si mescolano, dall’esuberanza neogotica di </w:t>
            </w:r>
            <w:r w:rsidRPr="00DF4A3A">
              <w:rPr>
                <w:rFonts w:cs="Arial"/>
                <w:bCs/>
                <w:i/>
                <w:iCs/>
                <w:sz w:val="22"/>
                <w:szCs w:val="22"/>
              </w:rPr>
              <w:t xml:space="preserve">Pisanello alle invenzioni astratte di </w:t>
            </w:r>
            <w:proofErr w:type="spellStart"/>
            <w:r w:rsidRPr="00DF4A3A">
              <w:rPr>
                <w:rFonts w:cs="Arial"/>
                <w:bCs/>
                <w:i/>
                <w:iCs/>
                <w:sz w:val="22"/>
                <w:szCs w:val="22"/>
              </w:rPr>
              <w:t>Kandinskj</w:t>
            </w:r>
            <w:proofErr w:type="spellEnd"/>
            <w:r w:rsidRPr="00DF4A3A">
              <w:rPr>
                <w:rFonts w:cs="Arial"/>
                <w:bCs/>
                <w:i/>
                <w:iCs/>
                <w:sz w:val="22"/>
                <w:szCs w:val="22"/>
              </w:rPr>
              <w:t xml:space="preserve"> per finire al giubilo stilizzato e inconfondibile di Keith Haring.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41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1374"/>
        <w:gridCol w:w="8086"/>
        <w:gridCol w:w="4328"/>
      </w:tblGrid>
      <w:tr w:rsidR="00B24AA8" w:rsidRPr="00912182" w14:paraId="79ABADCD" w14:textId="77777777" w:rsidTr="00B24AA8">
        <w:trPr>
          <w:trHeight w:val="564"/>
        </w:trPr>
        <w:tc>
          <w:tcPr>
            <w:tcW w:w="321" w:type="dxa"/>
            <w:vAlign w:val="center"/>
          </w:tcPr>
          <w:p w14:paraId="7D49DAEB" w14:textId="77777777" w:rsidR="00B24AA8" w:rsidRPr="009124C2" w:rsidRDefault="00B24AA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14:paraId="15607591" w14:textId="752F87AB" w:rsidR="00B24AA8" w:rsidRPr="009124C2" w:rsidRDefault="00B24AA8" w:rsidP="00B24AA8">
            <w:pPr>
              <w:ind w:left="57"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14.03.2025        </w:t>
            </w:r>
          </w:p>
        </w:tc>
        <w:tc>
          <w:tcPr>
            <w:tcW w:w="8086" w:type="dxa"/>
          </w:tcPr>
          <w:p w14:paraId="0B9B32B7" w14:textId="77777777" w:rsidR="00B24AA8" w:rsidRPr="00C513FB" w:rsidRDefault="00B24AA8" w:rsidP="00C513FB">
            <w:pPr>
              <w:ind w:left="79"/>
              <w:rPr>
                <w:rFonts w:cs="Arial"/>
                <w:b/>
                <w:bCs/>
                <w:sz w:val="18"/>
                <w:szCs w:val="18"/>
              </w:rPr>
            </w:pPr>
            <w:r w:rsidRPr="00C513FB">
              <w:rPr>
                <w:rFonts w:cs="Arial"/>
                <w:b/>
                <w:bCs/>
                <w:sz w:val="18"/>
                <w:szCs w:val="18"/>
              </w:rPr>
              <w:t>FIABESCO E PSICANALISI</w:t>
            </w:r>
          </w:p>
          <w:p w14:paraId="5BF54F33" w14:textId="77777777" w:rsidR="00B24AA8" w:rsidRPr="00C513FB" w:rsidRDefault="00B24AA8" w:rsidP="00C513FB">
            <w:pPr>
              <w:ind w:left="79"/>
              <w:rPr>
                <w:rFonts w:cs="Arial"/>
                <w:sz w:val="18"/>
                <w:szCs w:val="18"/>
              </w:rPr>
            </w:pPr>
            <w:r w:rsidRPr="00C513FB">
              <w:rPr>
                <w:rFonts w:cs="Arial"/>
                <w:sz w:val="18"/>
                <w:szCs w:val="18"/>
              </w:rPr>
              <w:t>L’amore cortese dei Fratelli di LIMBOURG. La Fontana delle Giovinezza nel Castello di Manta. San Giorgio e la Principessa di PISANELLO a Verona.</w:t>
            </w:r>
          </w:p>
          <w:p w14:paraId="5C339D5A" w14:textId="77777777" w:rsidR="00B24AA8" w:rsidRDefault="00B24AA8" w:rsidP="00C513FB">
            <w:pPr>
              <w:ind w:left="79"/>
              <w:rPr>
                <w:rFonts w:cs="Arial"/>
                <w:sz w:val="18"/>
                <w:szCs w:val="18"/>
              </w:rPr>
            </w:pPr>
            <w:r w:rsidRPr="00C513FB">
              <w:rPr>
                <w:rFonts w:cs="Arial"/>
                <w:sz w:val="18"/>
                <w:szCs w:val="18"/>
              </w:rPr>
              <w:t>Il bivio tra virtù e peccato. Le sottili sfumature dell’animo umano. Gli artisti e le fiabe. I murales. Psicanalisi e pittura: i due incubi di HEINRICH FUESSLI cento anni prima di FREUD. Il sogno e le visioni.</w:t>
            </w:r>
          </w:p>
          <w:p w14:paraId="15F7CC89" w14:textId="6CEC449F" w:rsidR="00C513FB" w:rsidRPr="00C513FB" w:rsidRDefault="00C513FB" w:rsidP="00C513FB">
            <w:pPr>
              <w:ind w:left="79"/>
              <w:rPr>
                <w:rFonts w:cs="Arial"/>
                <w:sz w:val="18"/>
                <w:szCs w:val="18"/>
              </w:rPr>
            </w:pPr>
          </w:p>
        </w:tc>
        <w:tc>
          <w:tcPr>
            <w:tcW w:w="4328" w:type="dxa"/>
            <w:vMerge w:val="restart"/>
            <w:vAlign w:val="center"/>
          </w:tcPr>
          <w:p w14:paraId="5C2B06AB" w14:textId="3F117395" w:rsidR="00B24AA8" w:rsidRPr="00B64D67" w:rsidRDefault="00B24AA8" w:rsidP="00B24AA8">
            <w:pPr>
              <w:ind w:firstLine="219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B24AA8" w:rsidRPr="009124C2" w14:paraId="14CE0752" w14:textId="77777777" w:rsidTr="00B24AA8">
        <w:trPr>
          <w:trHeight w:val="567"/>
        </w:trPr>
        <w:tc>
          <w:tcPr>
            <w:tcW w:w="321" w:type="dxa"/>
            <w:vAlign w:val="center"/>
          </w:tcPr>
          <w:p w14:paraId="4A378FF4" w14:textId="77777777" w:rsidR="00B24AA8" w:rsidRPr="009124C2" w:rsidRDefault="00B24AA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14:paraId="509A4E7E" w14:textId="29ED4ECA" w:rsidR="00B24AA8" w:rsidRPr="009124C2" w:rsidRDefault="00B24AA8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21.03.2025</w:t>
            </w:r>
          </w:p>
        </w:tc>
        <w:tc>
          <w:tcPr>
            <w:tcW w:w="8086" w:type="dxa"/>
          </w:tcPr>
          <w:p w14:paraId="4328630E" w14:textId="77777777" w:rsidR="00C513FB" w:rsidRPr="005E7731" w:rsidRDefault="00C513FB" w:rsidP="00C513FB">
            <w:pPr>
              <w:ind w:left="79"/>
              <w:jc w:val="both"/>
              <w:rPr>
                <w:rFonts w:cs="Arial"/>
                <w:b/>
                <w:sz w:val="18"/>
                <w:szCs w:val="18"/>
              </w:rPr>
            </w:pPr>
            <w:r w:rsidRPr="005E7731">
              <w:rPr>
                <w:rFonts w:cs="Arial"/>
                <w:b/>
                <w:sz w:val="18"/>
                <w:szCs w:val="18"/>
              </w:rPr>
              <w:t>DUE NATIVITA’ OPPOSTE: FIABA CONTRO REALISMO</w:t>
            </w:r>
          </w:p>
          <w:p w14:paraId="7F6CF65C" w14:textId="77777777" w:rsidR="00C513FB" w:rsidRPr="005E7731" w:rsidRDefault="00C513FB" w:rsidP="00C513FB">
            <w:pPr>
              <w:ind w:left="79"/>
              <w:jc w:val="both"/>
              <w:rPr>
                <w:rFonts w:cs="Arial"/>
                <w:sz w:val="18"/>
                <w:szCs w:val="18"/>
              </w:rPr>
            </w:pPr>
            <w:r w:rsidRPr="005E7731">
              <w:rPr>
                <w:rFonts w:cs="Arial"/>
                <w:b/>
                <w:sz w:val="18"/>
                <w:szCs w:val="18"/>
              </w:rPr>
              <w:t>GENTILE DA FABRIANO</w:t>
            </w:r>
            <w:r w:rsidRPr="005E7731">
              <w:rPr>
                <w:rFonts w:cs="Arial"/>
                <w:sz w:val="18"/>
                <w:szCs w:val="18"/>
              </w:rPr>
              <w:t>. Il racconto per immagini</w:t>
            </w:r>
            <w:r>
              <w:rPr>
                <w:rFonts w:cs="Arial"/>
                <w:sz w:val="18"/>
                <w:szCs w:val="18"/>
              </w:rPr>
              <w:t xml:space="preserve"> d</w:t>
            </w:r>
            <w:r w:rsidRPr="005E7731">
              <w:rPr>
                <w:rFonts w:cs="Arial"/>
                <w:sz w:val="18"/>
                <w:szCs w:val="18"/>
              </w:rPr>
              <w:t xml:space="preserve">el viaggio dei Magi per rendere onore al neonato Re dei Giudei. L’incanto dei colori sfavillanti. L’esuberante ricchezza dei personaggi.  La pura gioia della narrazione nella resa minuziosa dei particolari.  </w:t>
            </w:r>
          </w:p>
          <w:p w14:paraId="1234254E" w14:textId="77777777" w:rsidR="00C513FB" w:rsidRPr="005E7731" w:rsidRDefault="00C513FB" w:rsidP="00C513FB">
            <w:pPr>
              <w:ind w:left="79"/>
              <w:jc w:val="both"/>
              <w:rPr>
                <w:rFonts w:cs="Arial"/>
                <w:sz w:val="18"/>
                <w:szCs w:val="18"/>
              </w:rPr>
            </w:pPr>
            <w:r w:rsidRPr="005E7731">
              <w:rPr>
                <w:rFonts w:cs="Arial"/>
                <w:b/>
                <w:sz w:val="18"/>
                <w:szCs w:val="18"/>
              </w:rPr>
              <w:t>CARAVAGGIO</w:t>
            </w:r>
            <w:r w:rsidRPr="005E7731">
              <w:rPr>
                <w:rFonts w:cs="Arial"/>
                <w:sz w:val="18"/>
                <w:szCs w:val="18"/>
              </w:rPr>
              <w:t xml:space="preserve">. Il realismo drammatico del </w:t>
            </w:r>
            <w:r>
              <w:rPr>
                <w:rFonts w:cs="Arial"/>
                <w:sz w:val="18"/>
                <w:szCs w:val="18"/>
              </w:rPr>
              <w:t>giaciglio</w:t>
            </w:r>
            <w:r w:rsidRPr="005E7731">
              <w:rPr>
                <w:rFonts w:cs="Arial"/>
                <w:sz w:val="18"/>
                <w:szCs w:val="18"/>
              </w:rPr>
              <w:t xml:space="preserve"> di Betlemme. La solitudine di Maria rispetto allo sgomento esistenziale di Giuseppe e dei pastori. L’unico squarcio di tenerezza nell’atteggiamento commovente di Maria e del Bambino.</w:t>
            </w:r>
          </w:p>
          <w:p w14:paraId="4DE171D9" w14:textId="77777777" w:rsidR="00B24AA8" w:rsidRPr="00C513FB" w:rsidRDefault="00B24AA8" w:rsidP="00C513FB">
            <w:pPr>
              <w:ind w:left="79"/>
              <w:rPr>
                <w:rFonts w:cs="Arial"/>
                <w:sz w:val="18"/>
                <w:szCs w:val="18"/>
              </w:rPr>
            </w:pPr>
          </w:p>
        </w:tc>
        <w:tc>
          <w:tcPr>
            <w:tcW w:w="4328" w:type="dxa"/>
            <w:vMerge/>
            <w:vAlign w:val="center"/>
          </w:tcPr>
          <w:p w14:paraId="4AC22338" w14:textId="5E6E7092" w:rsidR="00B24AA8" w:rsidRPr="00B64D67" w:rsidRDefault="00B24AA8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B24AA8" w:rsidRPr="009124C2" w14:paraId="638AFA5D" w14:textId="77777777" w:rsidTr="00B24AA8">
        <w:trPr>
          <w:trHeight w:val="567"/>
        </w:trPr>
        <w:tc>
          <w:tcPr>
            <w:tcW w:w="321" w:type="dxa"/>
            <w:vAlign w:val="center"/>
          </w:tcPr>
          <w:p w14:paraId="3EFB7E73" w14:textId="77777777" w:rsidR="00B24AA8" w:rsidRPr="009124C2" w:rsidRDefault="00B24AA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14:paraId="512EDB51" w14:textId="2DEED827" w:rsidR="00B24AA8" w:rsidRPr="009124C2" w:rsidRDefault="00B24AA8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28.03.2025</w:t>
            </w:r>
          </w:p>
        </w:tc>
        <w:tc>
          <w:tcPr>
            <w:tcW w:w="8086" w:type="dxa"/>
          </w:tcPr>
          <w:p w14:paraId="1E908155" w14:textId="77777777" w:rsidR="00B24AA8" w:rsidRPr="005D1398" w:rsidRDefault="00C513FB" w:rsidP="00C513FB">
            <w:pPr>
              <w:ind w:left="79"/>
              <w:rPr>
                <w:rFonts w:cs="Arial"/>
                <w:b/>
                <w:bCs/>
                <w:sz w:val="18"/>
                <w:szCs w:val="18"/>
              </w:rPr>
            </w:pPr>
            <w:r w:rsidRPr="005D1398">
              <w:rPr>
                <w:rFonts w:cs="Arial"/>
                <w:b/>
                <w:bCs/>
                <w:sz w:val="18"/>
                <w:szCs w:val="18"/>
              </w:rPr>
              <w:t>FAUVES E PRIMITIVISMO</w:t>
            </w:r>
          </w:p>
          <w:p w14:paraId="28090F01" w14:textId="77777777" w:rsidR="00C513FB" w:rsidRDefault="00C513FB" w:rsidP="00C513FB">
            <w:pPr>
              <w:ind w:left="79"/>
              <w:rPr>
                <w:rFonts w:cs="Arial"/>
                <w:sz w:val="18"/>
                <w:szCs w:val="18"/>
              </w:rPr>
            </w:pPr>
            <w:r w:rsidRPr="005D1398">
              <w:rPr>
                <w:rFonts w:cs="Arial"/>
                <w:sz w:val="18"/>
                <w:szCs w:val="18"/>
              </w:rPr>
              <w:t>I FAUVES. Il PRIMITIVISMO. L’ART NOUVEAU. Lo stile Naif dal doganiere ROUSSEAU a Ligabue</w:t>
            </w:r>
          </w:p>
          <w:p w14:paraId="1A2D0C5E" w14:textId="6CDB07ED" w:rsidR="005D1398" w:rsidRPr="00B64D67" w:rsidRDefault="005D1398" w:rsidP="00C513FB">
            <w:pPr>
              <w:ind w:left="79"/>
              <w:rPr>
                <w:rFonts w:cs="Arial"/>
                <w:sz w:val="22"/>
                <w:szCs w:val="22"/>
              </w:rPr>
            </w:pPr>
          </w:p>
        </w:tc>
        <w:tc>
          <w:tcPr>
            <w:tcW w:w="4328" w:type="dxa"/>
            <w:vMerge/>
            <w:vAlign w:val="center"/>
          </w:tcPr>
          <w:p w14:paraId="0DA08E97" w14:textId="5CD95F62" w:rsidR="00B24AA8" w:rsidRPr="00B64D67" w:rsidRDefault="00B24AA8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B24AA8" w:rsidRPr="009124C2" w14:paraId="4099DA0F" w14:textId="77777777" w:rsidTr="00B24AA8">
        <w:trPr>
          <w:trHeight w:val="567"/>
        </w:trPr>
        <w:tc>
          <w:tcPr>
            <w:tcW w:w="321" w:type="dxa"/>
            <w:vAlign w:val="center"/>
          </w:tcPr>
          <w:p w14:paraId="65B3B4DF" w14:textId="77777777" w:rsidR="00B24AA8" w:rsidRPr="009124C2" w:rsidRDefault="00B24AA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4" w:type="dxa"/>
            <w:vAlign w:val="center"/>
          </w:tcPr>
          <w:p w14:paraId="3A2ECF37" w14:textId="40CE33BE" w:rsidR="00B24AA8" w:rsidRPr="00EB4BE2" w:rsidRDefault="00B24AA8" w:rsidP="00B67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04.04.2025</w:t>
            </w:r>
          </w:p>
        </w:tc>
        <w:tc>
          <w:tcPr>
            <w:tcW w:w="8086" w:type="dxa"/>
          </w:tcPr>
          <w:p w14:paraId="4D93AAD9" w14:textId="409D9AC3" w:rsidR="00B24AA8" w:rsidRPr="005D1398" w:rsidRDefault="005D1398" w:rsidP="005D1398">
            <w:pPr>
              <w:ind w:left="79"/>
              <w:rPr>
                <w:rFonts w:cs="Arial"/>
                <w:b/>
                <w:bCs/>
                <w:sz w:val="18"/>
                <w:szCs w:val="18"/>
              </w:rPr>
            </w:pPr>
            <w:r w:rsidRPr="005D1398">
              <w:rPr>
                <w:rFonts w:cs="Arial"/>
                <w:b/>
                <w:bCs/>
                <w:sz w:val="18"/>
                <w:szCs w:val="18"/>
              </w:rPr>
              <w:t xml:space="preserve">IL CAVALIERE AZZURRO </w:t>
            </w:r>
          </w:p>
          <w:p w14:paraId="1CBA2A1E" w14:textId="77777777" w:rsidR="005D1398" w:rsidRPr="005D1398" w:rsidRDefault="005D1398" w:rsidP="005D1398">
            <w:pPr>
              <w:ind w:left="79"/>
              <w:jc w:val="both"/>
              <w:rPr>
                <w:rFonts w:cs="Arial"/>
                <w:sz w:val="18"/>
                <w:szCs w:val="18"/>
              </w:rPr>
            </w:pPr>
            <w:r w:rsidRPr="005D1398">
              <w:rPr>
                <w:rFonts w:cs="Arial"/>
                <w:sz w:val="18"/>
                <w:szCs w:val="18"/>
              </w:rPr>
              <w:t xml:space="preserve">Lo stupore dell’infanzia nei quadri del Cavaliere Azzurro. </w:t>
            </w:r>
            <w:r w:rsidRPr="005D1398">
              <w:rPr>
                <w:rFonts w:cs="Arial"/>
                <w:b/>
                <w:sz w:val="18"/>
                <w:szCs w:val="18"/>
              </w:rPr>
              <w:t>WASSILI KANDINSKJ</w:t>
            </w:r>
            <w:r w:rsidRPr="005D1398">
              <w:rPr>
                <w:rFonts w:cs="Arial"/>
                <w:sz w:val="18"/>
                <w:szCs w:val="18"/>
              </w:rPr>
              <w:t xml:space="preserve"> e </w:t>
            </w:r>
            <w:r w:rsidRPr="005D1398">
              <w:rPr>
                <w:rFonts w:cs="Arial"/>
                <w:b/>
                <w:sz w:val="18"/>
                <w:szCs w:val="18"/>
              </w:rPr>
              <w:t>FRANZ MARC</w:t>
            </w:r>
            <w:r w:rsidRPr="005D1398">
              <w:rPr>
                <w:rFonts w:cs="Arial"/>
                <w:sz w:val="18"/>
                <w:szCs w:val="18"/>
              </w:rPr>
              <w:t xml:space="preserve">. Dal Cavaliere Azzurro all’Astrattismo. I colori e la musica. L’infanzia perenne di </w:t>
            </w:r>
            <w:r w:rsidRPr="005D1398">
              <w:rPr>
                <w:rFonts w:cs="Arial"/>
                <w:b/>
                <w:sz w:val="18"/>
                <w:szCs w:val="18"/>
              </w:rPr>
              <w:t>KEITH HARING</w:t>
            </w:r>
            <w:r w:rsidRPr="005D1398">
              <w:rPr>
                <w:rFonts w:cs="Arial"/>
                <w:sz w:val="18"/>
                <w:szCs w:val="18"/>
              </w:rPr>
              <w:t>, novello Peter Pan.</w:t>
            </w:r>
          </w:p>
          <w:p w14:paraId="346B54B5" w14:textId="78CA4C92" w:rsidR="005D1398" w:rsidRPr="00B64D67" w:rsidRDefault="005D1398" w:rsidP="00C513FB">
            <w:pPr>
              <w:ind w:left="79"/>
              <w:rPr>
                <w:rFonts w:cs="Arial"/>
                <w:sz w:val="22"/>
                <w:szCs w:val="22"/>
              </w:rPr>
            </w:pPr>
          </w:p>
        </w:tc>
        <w:tc>
          <w:tcPr>
            <w:tcW w:w="4328" w:type="dxa"/>
            <w:vMerge/>
            <w:vAlign w:val="center"/>
          </w:tcPr>
          <w:p w14:paraId="30D042A7" w14:textId="4D403CDA" w:rsidR="00B24AA8" w:rsidRPr="00B64D67" w:rsidRDefault="00B24AA8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B24AA8" w:rsidRPr="009124C2" w14:paraId="5E54F49D" w14:textId="77777777" w:rsidTr="00B24AA8">
        <w:trPr>
          <w:trHeight w:val="567"/>
        </w:trPr>
        <w:tc>
          <w:tcPr>
            <w:tcW w:w="321" w:type="dxa"/>
            <w:vAlign w:val="center"/>
          </w:tcPr>
          <w:p w14:paraId="694F3FAC" w14:textId="77777777" w:rsidR="00B24AA8" w:rsidRPr="009124C2" w:rsidRDefault="00B24AA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14:paraId="204A9B9A" w14:textId="763DFD14" w:rsidR="00B24AA8" w:rsidRPr="009124C2" w:rsidRDefault="00B24AA8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11.04.2025</w:t>
            </w:r>
          </w:p>
        </w:tc>
        <w:tc>
          <w:tcPr>
            <w:tcW w:w="8086" w:type="dxa"/>
          </w:tcPr>
          <w:p w14:paraId="59F7B666" w14:textId="77777777" w:rsidR="00B24AA8" w:rsidRPr="00F047D2" w:rsidRDefault="00F047D2" w:rsidP="00C513FB">
            <w:pPr>
              <w:ind w:left="79"/>
              <w:rPr>
                <w:rFonts w:cs="Arial"/>
                <w:b/>
                <w:bCs/>
                <w:sz w:val="18"/>
                <w:szCs w:val="18"/>
              </w:rPr>
            </w:pPr>
            <w:r w:rsidRPr="00F047D2">
              <w:rPr>
                <w:rFonts w:cs="Arial"/>
                <w:b/>
                <w:bCs/>
                <w:sz w:val="18"/>
                <w:szCs w:val="18"/>
              </w:rPr>
              <w:t>IL MITO E L’ARTE</w:t>
            </w:r>
          </w:p>
          <w:p w14:paraId="771C1694" w14:textId="0301B8A7" w:rsidR="00F047D2" w:rsidRPr="00F047D2" w:rsidRDefault="00F047D2" w:rsidP="00C513FB">
            <w:pPr>
              <w:ind w:left="79"/>
              <w:rPr>
                <w:rFonts w:cs="Arial"/>
                <w:sz w:val="22"/>
                <w:szCs w:val="22"/>
              </w:rPr>
            </w:pPr>
            <w:r w:rsidRPr="00F047D2">
              <w:rPr>
                <w:rFonts w:cs="Arial"/>
                <w:sz w:val="18"/>
                <w:szCs w:val="18"/>
              </w:rPr>
              <w:t>Il mito della Creazione. Dea Madre e Dio Padre. Il destino dell’essere umano. Il Bene contro il Male. La ribellione degli Dei. Adamo ed Eva nelle diverse interpretazioni degli artisti.</w:t>
            </w:r>
            <w:r w:rsidR="00823116">
              <w:rPr>
                <w:rFonts w:cs="Arial"/>
                <w:sz w:val="18"/>
                <w:szCs w:val="18"/>
              </w:rPr>
              <w:t xml:space="preserve"> I miti greci. Animalità e ragione da BOTTICELLI a LEONARDO.</w:t>
            </w:r>
            <w:r w:rsidRPr="00F047D2">
              <w:rPr>
                <w:rFonts w:cs="Arial"/>
                <w:sz w:val="18"/>
                <w:szCs w:val="18"/>
              </w:rPr>
              <w:t xml:space="preserve"> I</w:t>
            </w:r>
            <w:r w:rsidR="00823116">
              <w:rPr>
                <w:rFonts w:cs="Arial"/>
                <w:sz w:val="18"/>
                <w:szCs w:val="18"/>
              </w:rPr>
              <w:t>l</w:t>
            </w:r>
            <w:r w:rsidRPr="00F047D2">
              <w:rPr>
                <w:rFonts w:cs="Arial"/>
                <w:sz w:val="18"/>
                <w:szCs w:val="18"/>
              </w:rPr>
              <w:t xml:space="preserve"> mito del Tempo e della Memoria</w:t>
            </w:r>
          </w:p>
        </w:tc>
        <w:tc>
          <w:tcPr>
            <w:tcW w:w="4328" w:type="dxa"/>
            <w:vMerge/>
            <w:vAlign w:val="center"/>
          </w:tcPr>
          <w:p w14:paraId="69402EEC" w14:textId="149D719B" w:rsidR="00B24AA8" w:rsidRPr="00B64D67" w:rsidRDefault="00B24AA8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111D7E4" w14:textId="7587DACE" w:rsidR="00B24AA8" w:rsidRPr="005E7731" w:rsidRDefault="00B24AA8" w:rsidP="00B24AA8">
      <w:pPr>
        <w:jc w:val="both"/>
        <w:rPr>
          <w:rFonts w:cs="Arial"/>
          <w:sz w:val="18"/>
          <w:szCs w:val="18"/>
        </w:rPr>
      </w:pPr>
      <w:r w:rsidRPr="005E7731">
        <w:rPr>
          <w:rFonts w:cs="Arial"/>
          <w:sz w:val="18"/>
          <w:szCs w:val="18"/>
        </w:rPr>
        <w:t>.</w:t>
      </w: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52B8"/>
    <w:rsid w:val="001B412C"/>
    <w:rsid w:val="001E15FA"/>
    <w:rsid w:val="00262A85"/>
    <w:rsid w:val="00422C2B"/>
    <w:rsid w:val="00437D8A"/>
    <w:rsid w:val="00533E72"/>
    <w:rsid w:val="00565751"/>
    <w:rsid w:val="005D1398"/>
    <w:rsid w:val="005E73CA"/>
    <w:rsid w:val="006469F9"/>
    <w:rsid w:val="0066014E"/>
    <w:rsid w:val="0077597B"/>
    <w:rsid w:val="007E683C"/>
    <w:rsid w:val="008052CE"/>
    <w:rsid w:val="00823116"/>
    <w:rsid w:val="00826846"/>
    <w:rsid w:val="008A65D3"/>
    <w:rsid w:val="00967B0C"/>
    <w:rsid w:val="00A27F91"/>
    <w:rsid w:val="00B24AA8"/>
    <w:rsid w:val="00B64D67"/>
    <w:rsid w:val="00B67D50"/>
    <w:rsid w:val="00C513FB"/>
    <w:rsid w:val="00C8011A"/>
    <w:rsid w:val="00CB6454"/>
    <w:rsid w:val="00CE0E41"/>
    <w:rsid w:val="00DF4A3A"/>
    <w:rsid w:val="00E17078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2024-06-10T22:52:00Z</dcterms:created>
  <dcterms:modified xsi:type="dcterms:W3CDTF">2024-07-30T08:44:00Z</dcterms:modified>
</cp:coreProperties>
</file>