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342C57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1B412C">
        <w:rPr>
          <w:b/>
          <w:bCs/>
          <w:sz w:val="44"/>
        </w:rPr>
        <w:t>4</w:t>
      </w:r>
      <w:r>
        <w:rPr>
          <w:b/>
          <w:bCs/>
          <w:sz w:val="44"/>
        </w:rPr>
        <w:t>/2</w:t>
      </w:r>
      <w:r w:rsidR="001B412C">
        <w:rPr>
          <w:b/>
          <w:bCs/>
          <w:sz w:val="44"/>
        </w:rPr>
        <w:t>5</w:t>
      </w:r>
    </w:p>
    <w:p w14:paraId="740E9E12" w14:textId="2AFB6DCC" w:rsidR="00CE0E41" w:rsidRPr="00437D8A" w:rsidRDefault="00CE0E41" w:rsidP="00CE0E41">
      <w:pPr>
        <w:pStyle w:val="Intestazione"/>
        <w:rPr>
          <w:b/>
          <w:bCs/>
          <w:color w:val="00B050"/>
          <w:sz w:val="24"/>
        </w:rPr>
      </w:pPr>
      <w:r w:rsidRPr="00437D8A">
        <w:rPr>
          <w:color w:val="00B050"/>
        </w:rPr>
        <w:t xml:space="preserve">                                                         </w:t>
      </w:r>
      <w:r w:rsidR="00533E72">
        <w:rPr>
          <w:color w:val="00B050"/>
        </w:rPr>
        <w:t xml:space="preserve">    </w:t>
      </w:r>
      <w:r w:rsidRPr="00437D8A">
        <w:rPr>
          <w:color w:val="00B050"/>
        </w:rPr>
        <w:t xml:space="preserve">  Bergamo </w:t>
      </w:r>
      <w:r w:rsidR="00826846">
        <w:rPr>
          <w:color w:val="00B050"/>
        </w:rPr>
        <w:t>–</w:t>
      </w:r>
      <w:r w:rsidRPr="00437D8A">
        <w:rPr>
          <w:b/>
          <w:color w:val="00B050"/>
        </w:rPr>
        <w:t xml:space="preserve"> </w:t>
      </w:r>
      <w:r w:rsidR="00533E72">
        <w:rPr>
          <w:b/>
          <w:bCs/>
          <w:color w:val="00B050"/>
          <w:sz w:val="24"/>
        </w:rPr>
        <w:t>TERZA</w:t>
      </w:r>
      <w:r w:rsidR="00826846">
        <w:rPr>
          <w:b/>
          <w:bCs/>
          <w:color w:val="00B050"/>
          <w:sz w:val="24"/>
        </w:rPr>
        <w:t xml:space="preserve">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1B412C">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51" w:type="dxa"/>
            <w:vAlign w:val="center"/>
          </w:tcPr>
          <w:p w14:paraId="68BA21B0" w14:textId="20736930" w:rsidR="005E73CA" w:rsidRPr="009124C2" w:rsidRDefault="00D87687" w:rsidP="00CB3121">
            <w:pPr>
              <w:jc w:val="center"/>
              <w:rPr>
                <w:b/>
                <w:sz w:val="40"/>
                <w:szCs w:val="40"/>
              </w:rPr>
            </w:pPr>
            <w:r>
              <w:rPr>
                <w:b/>
                <w:sz w:val="40"/>
                <w:szCs w:val="40"/>
              </w:rPr>
              <w:t>73</w:t>
            </w:r>
          </w:p>
        </w:tc>
        <w:tc>
          <w:tcPr>
            <w:tcW w:w="7087" w:type="dxa"/>
            <w:vAlign w:val="center"/>
          </w:tcPr>
          <w:p w14:paraId="4DA48862" w14:textId="77777777" w:rsidR="00D87687" w:rsidRDefault="00D87687" w:rsidP="00D87687">
            <w:pPr>
              <w:jc w:val="center"/>
              <w:rPr>
                <w:rFonts w:cs="Arial"/>
                <w:b/>
                <w:bCs/>
                <w:i/>
                <w:iCs/>
                <w:sz w:val="32"/>
                <w:szCs w:val="32"/>
              </w:rPr>
            </w:pPr>
            <w:r w:rsidRPr="00D87687">
              <w:rPr>
                <w:rFonts w:cs="Arial"/>
                <w:b/>
                <w:bCs/>
                <w:i/>
                <w:iCs/>
                <w:sz w:val="32"/>
                <w:szCs w:val="32"/>
              </w:rPr>
              <w:t>LA RIVOLUZIONE DELLA MEDICINA</w:t>
            </w:r>
          </w:p>
          <w:p w14:paraId="47AB3DF8" w14:textId="2203FA43" w:rsidR="005E73CA" w:rsidRPr="00D87687" w:rsidRDefault="00D87687" w:rsidP="00D87687">
            <w:pPr>
              <w:jc w:val="center"/>
              <w:rPr>
                <w:rFonts w:cs="Arial"/>
                <w:b/>
                <w:bCs/>
                <w:i/>
                <w:iCs/>
                <w:sz w:val="32"/>
                <w:szCs w:val="32"/>
              </w:rPr>
            </w:pPr>
            <w:r w:rsidRPr="00D87687">
              <w:rPr>
                <w:rFonts w:cs="Arial"/>
                <w:b/>
                <w:bCs/>
                <w:i/>
                <w:iCs/>
                <w:sz w:val="32"/>
                <w:szCs w:val="32"/>
              </w:rPr>
              <w:t xml:space="preserve"> NEL XIX SECOLO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6F5D66">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35AD1A7A" w:rsidR="00CE0E41" w:rsidRPr="00D87687" w:rsidRDefault="00D87687" w:rsidP="00CB3121">
            <w:pPr>
              <w:jc w:val="both"/>
              <w:rPr>
                <w:rFonts w:cs="Arial"/>
                <w:b/>
                <w:bCs/>
                <w:sz w:val="22"/>
                <w:szCs w:val="22"/>
              </w:rPr>
            </w:pPr>
            <w:r w:rsidRPr="00D87687">
              <w:rPr>
                <w:rFonts w:cs="Arial"/>
                <w:b/>
                <w:bCs/>
                <w:sz w:val="22"/>
                <w:szCs w:val="22"/>
              </w:rPr>
              <w:t>Severina Allevi</w:t>
            </w:r>
          </w:p>
        </w:tc>
      </w:tr>
      <w:tr w:rsidR="00CE0E41" w:rsidRPr="009124C2" w14:paraId="0677E990" w14:textId="77777777" w:rsidTr="006F5D66">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32EEC203" w:rsidR="00CE0E41" w:rsidRPr="00D87687" w:rsidRDefault="00AC66F7" w:rsidP="00CB3121">
            <w:pPr>
              <w:rPr>
                <w:sz w:val="22"/>
                <w:szCs w:val="22"/>
              </w:rPr>
            </w:pPr>
            <w:r>
              <w:rPr>
                <w:rFonts w:cs="Arial"/>
                <w:sz w:val="22"/>
                <w:szCs w:val="22"/>
              </w:rPr>
              <w:t>lun</w:t>
            </w:r>
            <w:r w:rsidR="00D87687" w:rsidRPr="00D87687">
              <w:rPr>
                <w:rFonts w:cs="Arial"/>
                <w:sz w:val="22"/>
                <w:szCs w:val="22"/>
              </w:rPr>
              <w:t>edì</w:t>
            </w:r>
          </w:p>
        </w:tc>
      </w:tr>
      <w:tr w:rsidR="00CE0E41" w:rsidRPr="009124C2" w14:paraId="4DF3B695" w14:textId="77777777" w:rsidTr="006F5D66">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D87687" w:rsidRDefault="00E17078" w:rsidP="00CB3121">
            <w:pPr>
              <w:rPr>
                <w:sz w:val="22"/>
                <w:szCs w:val="22"/>
              </w:rPr>
            </w:pPr>
            <w:r w:rsidRPr="00D87687">
              <w:rPr>
                <w:sz w:val="22"/>
                <w:szCs w:val="22"/>
              </w:rPr>
              <w:t>15.00-17.15</w:t>
            </w:r>
          </w:p>
        </w:tc>
      </w:tr>
      <w:tr w:rsidR="00CE0E41" w:rsidRPr="009124C2" w14:paraId="782B8717" w14:textId="77777777" w:rsidTr="006F5D66">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4B6E98B3" w:rsidR="00CE0E41" w:rsidRPr="00D87687" w:rsidRDefault="00CE0E41" w:rsidP="00D87687">
            <w:pPr>
              <w:jc w:val="both"/>
              <w:rPr>
                <w:rFonts w:cs="Arial"/>
                <w:sz w:val="22"/>
                <w:szCs w:val="22"/>
              </w:rPr>
            </w:pPr>
            <w:r w:rsidRPr="00D87687">
              <w:rPr>
                <w:sz w:val="22"/>
                <w:szCs w:val="22"/>
              </w:rPr>
              <w:t>Dal</w:t>
            </w:r>
            <w:r w:rsidR="00D87687" w:rsidRPr="00D87687">
              <w:rPr>
                <w:rFonts w:cs="Arial"/>
                <w:sz w:val="22"/>
                <w:szCs w:val="22"/>
              </w:rPr>
              <w:t>l’1</w:t>
            </w:r>
            <w:r w:rsidR="00AC66F7">
              <w:rPr>
                <w:rFonts w:cs="Arial"/>
                <w:sz w:val="22"/>
                <w:szCs w:val="22"/>
              </w:rPr>
              <w:t>0</w:t>
            </w:r>
            <w:r w:rsidR="00D87687" w:rsidRPr="00D87687">
              <w:rPr>
                <w:rFonts w:cs="Arial"/>
                <w:sz w:val="22"/>
                <w:szCs w:val="22"/>
              </w:rPr>
              <w:t xml:space="preserve"> marzo al </w:t>
            </w:r>
            <w:r w:rsidR="00AC66F7">
              <w:rPr>
                <w:rFonts w:cs="Arial"/>
                <w:sz w:val="22"/>
                <w:szCs w:val="22"/>
              </w:rPr>
              <w:t>7</w:t>
            </w:r>
            <w:r w:rsidR="00D87687" w:rsidRPr="00D87687">
              <w:rPr>
                <w:rFonts w:cs="Arial"/>
                <w:sz w:val="22"/>
                <w:szCs w:val="22"/>
              </w:rPr>
              <w:t xml:space="preserve"> aprile 2025</w:t>
            </w:r>
            <w:r w:rsidR="00D87687" w:rsidRPr="00D87687">
              <w:rPr>
                <w:rFonts w:cs="Arial"/>
                <w:bCs/>
                <w:sz w:val="22"/>
                <w:szCs w:val="22"/>
              </w:rPr>
              <w:t xml:space="preserve"> (5 incontri - </w:t>
            </w:r>
            <w:r w:rsidR="00D87687" w:rsidRPr="00D87687">
              <w:rPr>
                <w:rFonts w:cs="Arial"/>
                <w:sz w:val="22"/>
                <w:szCs w:val="22"/>
              </w:rPr>
              <w:t>€ 20,00)</w:t>
            </w:r>
          </w:p>
        </w:tc>
      </w:tr>
      <w:tr w:rsidR="00CE0E41" w:rsidRPr="009124C2" w14:paraId="44B4C69B" w14:textId="77777777" w:rsidTr="006F5D66">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112B779F" w:rsidR="00CE0E41" w:rsidRPr="00D87687" w:rsidRDefault="00D87687" w:rsidP="00CB3121">
            <w:pPr>
              <w:jc w:val="both"/>
              <w:rPr>
                <w:sz w:val="22"/>
                <w:szCs w:val="22"/>
              </w:rPr>
            </w:pPr>
            <w:r w:rsidRPr="00D87687">
              <w:rPr>
                <w:rFonts w:cs="Arial"/>
                <w:sz w:val="22"/>
                <w:szCs w:val="22"/>
              </w:rPr>
              <w:t>Mutuo Soccorso, via Zambonate,33</w:t>
            </w:r>
          </w:p>
        </w:tc>
      </w:tr>
      <w:tr w:rsidR="00CE0E41" w:rsidRPr="009124C2" w14:paraId="57703C0E" w14:textId="77777777" w:rsidTr="006F5D66">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0DA4979D" w:rsidR="00CE0E41" w:rsidRPr="00D87687" w:rsidRDefault="00D87687" w:rsidP="007E683C">
            <w:pPr>
              <w:jc w:val="both"/>
              <w:rPr>
                <w:rFonts w:cs="Arial"/>
                <w:b/>
                <w:bCs/>
                <w:sz w:val="22"/>
                <w:szCs w:val="22"/>
              </w:rPr>
            </w:pPr>
            <w:r w:rsidRPr="00D87687">
              <w:rPr>
                <w:rFonts w:cs="Arial"/>
                <w:b/>
                <w:bCs/>
                <w:sz w:val="22"/>
                <w:szCs w:val="22"/>
              </w:rPr>
              <w:t xml:space="preserve">SCIENZE </w:t>
            </w:r>
          </w:p>
        </w:tc>
      </w:tr>
      <w:tr w:rsidR="00CE0E41" w:rsidRPr="009124C2" w14:paraId="6662DB94" w14:textId="77777777" w:rsidTr="006F5D66">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6269B4BA" w:rsidR="00CE0E41" w:rsidRPr="00D87687" w:rsidRDefault="00D87687" w:rsidP="00D87687">
            <w:pPr>
              <w:jc w:val="both"/>
              <w:rPr>
                <w:rFonts w:cs="Arial"/>
                <w:i/>
                <w:iCs/>
                <w:sz w:val="22"/>
                <w:szCs w:val="22"/>
              </w:rPr>
            </w:pPr>
            <w:r w:rsidRPr="00D87687">
              <w:rPr>
                <w:rFonts w:cs="Arial"/>
                <w:i/>
                <w:iCs/>
                <w:sz w:val="22"/>
                <w:szCs w:val="22"/>
              </w:rPr>
              <w:t>L’Ottocento è l’anno della rivolta sociale in Europa ed è anche l’anno delle grandi scoperte scientifiche, specialmente in campo medico. L’epidemia di colera è soltanto uno dei catalizzatori delle riforme sociali e della sanità pubblica. L’industrializzazione trasforma l’umanità e il panorama ambientale con l’accelerazione della crescita delle città. La scienza e la tecnologia si fondono nel corso del secolo per creare in Europa un mondo moderno, sia fisico che sociale e la Medicina, considerata fino ad allora un’arte, diventa scienza e sviluppa procedure e metodi scientifici che mutano radicalmente la malattia e la cura. Nascono gli ospedali universitari, i cui esponenti più prestigiosi, Jenner, Pasteur, Koch, diventano personalità di rilievo internazionale, create da una medicina formata sulla scienza ma in parte anche sui mezzi di comunicazione di massa che favoriscono il dialogo fra scienziati dei diversi Stati Europei.</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FA2A01" w:rsidRPr="00912182" w14:paraId="79ABADCD" w14:textId="77777777" w:rsidTr="00FA2A01">
        <w:trPr>
          <w:trHeight w:val="564"/>
        </w:trPr>
        <w:tc>
          <w:tcPr>
            <w:tcW w:w="385" w:type="dxa"/>
            <w:vAlign w:val="center"/>
          </w:tcPr>
          <w:p w14:paraId="7D49DAEB" w14:textId="77777777" w:rsidR="00FA2A01" w:rsidRPr="009124C2" w:rsidRDefault="00FA2A01" w:rsidP="00FA2A01">
            <w:pPr>
              <w:jc w:val="center"/>
              <w:rPr>
                <w:rFonts w:cs="Arial"/>
                <w:b/>
                <w:bCs/>
                <w:sz w:val="22"/>
                <w:szCs w:val="22"/>
              </w:rPr>
            </w:pPr>
            <w:r w:rsidRPr="009124C2">
              <w:rPr>
                <w:rFonts w:cs="Arial"/>
                <w:b/>
                <w:bCs/>
                <w:sz w:val="22"/>
                <w:szCs w:val="22"/>
              </w:rPr>
              <w:t>1</w:t>
            </w:r>
          </w:p>
        </w:tc>
        <w:tc>
          <w:tcPr>
            <w:tcW w:w="1639" w:type="dxa"/>
            <w:vAlign w:val="center"/>
          </w:tcPr>
          <w:p w14:paraId="15607591" w14:textId="24DC426F" w:rsidR="00FA2A01" w:rsidRPr="009124C2" w:rsidRDefault="00FA2A01" w:rsidP="00FA2A01">
            <w:pPr>
              <w:ind w:left="57"/>
              <w:jc w:val="center"/>
              <w:rPr>
                <w:sz w:val="22"/>
                <w:szCs w:val="22"/>
              </w:rPr>
            </w:pPr>
            <w:r>
              <w:rPr>
                <w:sz w:val="22"/>
                <w:szCs w:val="22"/>
              </w:rPr>
              <w:t>1</w:t>
            </w:r>
            <w:r w:rsidR="00AC66F7">
              <w:rPr>
                <w:sz w:val="22"/>
                <w:szCs w:val="22"/>
              </w:rPr>
              <w:t>0</w:t>
            </w:r>
            <w:r>
              <w:rPr>
                <w:sz w:val="22"/>
                <w:szCs w:val="22"/>
              </w:rPr>
              <w:t>.03.2025</w:t>
            </w:r>
          </w:p>
        </w:tc>
        <w:tc>
          <w:tcPr>
            <w:tcW w:w="7487" w:type="dxa"/>
            <w:vAlign w:val="center"/>
          </w:tcPr>
          <w:p w14:paraId="36C272E2" w14:textId="77777777" w:rsidR="00FA2A01" w:rsidRDefault="00FA2A01" w:rsidP="00FA2A01">
            <w:pPr>
              <w:rPr>
                <w:rFonts w:cs="Arial"/>
                <w:sz w:val="22"/>
                <w:szCs w:val="22"/>
              </w:rPr>
            </w:pPr>
            <w:r w:rsidRPr="00FA2A01">
              <w:rPr>
                <w:rFonts w:cs="Arial"/>
                <w:sz w:val="22"/>
                <w:szCs w:val="22"/>
              </w:rPr>
              <w:t>Edward Jenner effettua la prima vaccinazione contro il vaiolo. Nicola Cusano inventa le lenti concave per trattare la miopia.</w:t>
            </w:r>
          </w:p>
          <w:p w14:paraId="5C2B06AB" w14:textId="7744797F" w:rsidR="00FA2A01" w:rsidRPr="00FA2A01" w:rsidRDefault="00FA2A01" w:rsidP="00FA2A01">
            <w:pPr>
              <w:rPr>
                <w:rFonts w:cs="Arial"/>
                <w:sz w:val="10"/>
                <w:szCs w:val="10"/>
              </w:rPr>
            </w:pPr>
          </w:p>
        </w:tc>
      </w:tr>
      <w:tr w:rsidR="00FA2A01" w:rsidRPr="009124C2" w14:paraId="14CE0752" w14:textId="77777777" w:rsidTr="00FA2A01">
        <w:trPr>
          <w:trHeight w:val="567"/>
        </w:trPr>
        <w:tc>
          <w:tcPr>
            <w:tcW w:w="385" w:type="dxa"/>
            <w:vAlign w:val="center"/>
          </w:tcPr>
          <w:p w14:paraId="4A378FF4" w14:textId="77777777" w:rsidR="00FA2A01" w:rsidRPr="009124C2" w:rsidRDefault="00FA2A01" w:rsidP="00FA2A01">
            <w:pPr>
              <w:jc w:val="center"/>
              <w:rPr>
                <w:rFonts w:cs="Arial"/>
                <w:b/>
                <w:bCs/>
                <w:sz w:val="22"/>
                <w:szCs w:val="22"/>
              </w:rPr>
            </w:pPr>
            <w:r w:rsidRPr="009124C2">
              <w:rPr>
                <w:rFonts w:cs="Arial"/>
                <w:b/>
                <w:bCs/>
                <w:sz w:val="22"/>
                <w:szCs w:val="22"/>
              </w:rPr>
              <w:t>2</w:t>
            </w:r>
          </w:p>
        </w:tc>
        <w:tc>
          <w:tcPr>
            <w:tcW w:w="1639" w:type="dxa"/>
            <w:vAlign w:val="center"/>
          </w:tcPr>
          <w:p w14:paraId="509A4E7E" w14:textId="1D9F202E" w:rsidR="00FA2A01" w:rsidRPr="009124C2" w:rsidRDefault="00FA2A01" w:rsidP="00FA2A01">
            <w:pPr>
              <w:ind w:left="57"/>
              <w:jc w:val="center"/>
              <w:rPr>
                <w:sz w:val="22"/>
                <w:szCs w:val="22"/>
              </w:rPr>
            </w:pPr>
            <w:r>
              <w:rPr>
                <w:sz w:val="22"/>
                <w:szCs w:val="22"/>
              </w:rPr>
              <w:t>1</w:t>
            </w:r>
            <w:r w:rsidR="00AC66F7">
              <w:rPr>
                <w:sz w:val="22"/>
                <w:szCs w:val="22"/>
              </w:rPr>
              <w:t>7</w:t>
            </w:r>
            <w:r>
              <w:rPr>
                <w:sz w:val="22"/>
                <w:szCs w:val="22"/>
              </w:rPr>
              <w:t>.03.2025</w:t>
            </w:r>
          </w:p>
        </w:tc>
        <w:tc>
          <w:tcPr>
            <w:tcW w:w="7487" w:type="dxa"/>
            <w:vAlign w:val="center"/>
          </w:tcPr>
          <w:p w14:paraId="065F5E42" w14:textId="77777777" w:rsidR="00FA2A01" w:rsidRDefault="00FA2A01" w:rsidP="00FA2A01">
            <w:pPr>
              <w:rPr>
                <w:rFonts w:cs="Arial"/>
                <w:sz w:val="22"/>
                <w:szCs w:val="22"/>
              </w:rPr>
            </w:pPr>
            <w:r w:rsidRPr="00FA2A01">
              <w:rPr>
                <w:rFonts w:cs="Arial"/>
                <w:sz w:val="22"/>
                <w:szCs w:val="22"/>
              </w:rPr>
              <w:t xml:space="preserve">Incontro: Gregor Mendel dà inizio allo studio della genetica. René </w:t>
            </w:r>
            <w:proofErr w:type="spellStart"/>
            <w:r w:rsidRPr="00FA2A01">
              <w:rPr>
                <w:rFonts w:cs="Arial"/>
                <w:sz w:val="22"/>
                <w:szCs w:val="22"/>
              </w:rPr>
              <w:t>Laennec</w:t>
            </w:r>
            <w:proofErr w:type="spellEnd"/>
            <w:r w:rsidRPr="00FA2A01">
              <w:rPr>
                <w:rFonts w:cs="Arial"/>
                <w:sz w:val="22"/>
                <w:szCs w:val="22"/>
              </w:rPr>
              <w:t xml:space="preserve"> inventa lo stetoscopio</w:t>
            </w:r>
          </w:p>
          <w:p w14:paraId="4AC22338" w14:textId="2FD289E7" w:rsidR="00FA2A01" w:rsidRPr="00FA2A01" w:rsidRDefault="00FA2A01" w:rsidP="00FA2A01">
            <w:pPr>
              <w:rPr>
                <w:rFonts w:cs="Arial"/>
                <w:sz w:val="14"/>
                <w:szCs w:val="14"/>
              </w:rPr>
            </w:pPr>
          </w:p>
        </w:tc>
      </w:tr>
      <w:tr w:rsidR="00FA2A01" w:rsidRPr="009124C2" w14:paraId="638AFA5D" w14:textId="77777777" w:rsidTr="00FA2A01">
        <w:trPr>
          <w:trHeight w:val="567"/>
        </w:trPr>
        <w:tc>
          <w:tcPr>
            <w:tcW w:w="385" w:type="dxa"/>
            <w:vAlign w:val="center"/>
          </w:tcPr>
          <w:p w14:paraId="3EFB7E73" w14:textId="77777777" w:rsidR="00FA2A01" w:rsidRPr="009124C2" w:rsidRDefault="00FA2A01" w:rsidP="00FA2A01">
            <w:pPr>
              <w:jc w:val="center"/>
              <w:rPr>
                <w:rFonts w:cs="Arial"/>
                <w:b/>
                <w:bCs/>
                <w:sz w:val="22"/>
                <w:szCs w:val="22"/>
              </w:rPr>
            </w:pPr>
            <w:r w:rsidRPr="009124C2">
              <w:rPr>
                <w:rFonts w:cs="Arial"/>
                <w:b/>
                <w:bCs/>
                <w:sz w:val="22"/>
                <w:szCs w:val="22"/>
              </w:rPr>
              <w:t>3</w:t>
            </w:r>
          </w:p>
        </w:tc>
        <w:tc>
          <w:tcPr>
            <w:tcW w:w="1639" w:type="dxa"/>
            <w:vAlign w:val="center"/>
          </w:tcPr>
          <w:p w14:paraId="512EDB51" w14:textId="75E52005" w:rsidR="00FA2A01" w:rsidRPr="009124C2" w:rsidRDefault="00FA2A01" w:rsidP="00FA2A01">
            <w:pPr>
              <w:ind w:left="57"/>
              <w:jc w:val="center"/>
              <w:rPr>
                <w:sz w:val="22"/>
                <w:szCs w:val="22"/>
              </w:rPr>
            </w:pPr>
            <w:r>
              <w:rPr>
                <w:sz w:val="22"/>
                <w:szCs w:val="22"/>
              </w:rPr>
              <w:t>2</w:t>
            </w:r>
            <w:r w:rsidR="00AC66F7">
              <w:rPr>
                <w:sz w:val="22"/>
                <w:szCs w:val="22"/>
              </w:rPr>
              <w:t>4</w:t>
            </w:r>
            <w:r>
              <w:rPr>
                <w:sz w:val="22"/>
                <w:szCs w:val="22"/>
              </w:rPr>
              <w:t>.03.2025</w:t>
            </w:r>
          </w:p>
        </w:tc>
        <w:tc>
          <w:tcPr>
            <w:tcW w:w="7487" w:type="dxa"/>
            <w:vAlign w:val="center"/>
          </w:tcPr>
          <w:p w14:paraId="5A3D0334" w14:textId="5B0E31CB" w:rsidR="00FA2A01" w:rsidRDefault="00FA2A01" w:rsidP="00FA2A01">
            <w:pPr>
              <w:rPr>
                <w:rFonts w:cs="Arial"/>
                <w:sz w:val="22"/>
                <w:szCs w:val="22"/>
              </w:rPr>
            </w:pPr>
            <w:r w:rsidRPr="00FA2A01">
              <w:rPr>
                <w:rFonts w:cs="Arial"/>
                <w:sz w:val="22"/>
                <w:szCs w:val="22"/>
              </w:rPr>
              <w:t>Incontro: Fr</w:t>
            </w:r>
            <w:r w:rsidR="005C4806">
              <w:rPr>
                <w:rFonts w:cs="Arial"/>
                <w:sz w:val="22"/>
                <w:szCs w:val="22"/>
              </w:rPr>
              <w:t>i</w:t>
            </w:r>
            <w:r w:rsidRPr="00FA2A01">
              <w:rPr>
                <w:rFonts w:cs="Arial"/>
                <w:sz w:val="22"/>
                <w:szCs w:val="22"/>
              </w:rPr>
              <w:t xml:space="preserve">edrich </w:t>
            </w:r>
            <w:proofErr w:type="spellStart"/>
            <w:r w:rsidRPr="00FA2A01">
              <w:rPr>
                <w:rFonts w:cs="Arial"/>
                <w:sz w:val="22"/>
                <w:szCs w:val="22"/>
              </w:rPr>
              <w:t>Miescher</w:t>
            </w:r>
            <w:proofErr w:type="spellEnd"/>
            <w:r w:rsidRPr="00FA2A01">
              <w:rPr>
                <w:rFonts w:cs="Arial"/>
                <w:sz w:val="22"/>
                <w:szCs w:val="22"/>
              </w:rPr>
              <w:t xml:space="preserve"> scopre il DNA. Rudolf Virchow pubblica la teoria cellulare</w:t>
            </w:r>
          </w:p>
          <w:p w14:paraId="0DA08E97" w14:textId="4FA0C53D" w:rsidR="00FA2A01" w:rsidRPr="00FA2A01" w:rsidRDefault="00FA2A01" w:rsidP="00FA2A01">
            <w:pPr>
              <w:rPr>
                <w:rFonts w:cs="Arial"/>
                <w:sz w:val="14"/>
                <w:szCs w:val="14"/>
              </w:rPr>
            </w:pPr>
          </w:p>
        </w:tc>
      </w:tr>
      <w:tr w:rsidR="00FA2A01" w:rsidRPr="009124C2" w14:paraId="4099DA0F" w14:textId="77777777" w:rsidTr="00FA2A01">
        <w:trPr>
          <w:trHeight w:val="567"/>
        </w:trPr>
        <w:tc>
          <w:tcPr>
            <w:tcW w:w="385" w:type="dxa"/>
            <w:vAlign w:val="center"/>
          </w:tcPr>
          <w:p w14:paraId="65B3B4DF" w14:textId="77777777" w:rsidR="00FA2A01" w:rsidRPr="009124C2" w:rsidRDefault="00FA2A01" w:rsidP="00FA2A01">
            <w:pPr>
              <w:jc w:val="center"/>
              <w:rPr>
                <w:rFonts w:cs="Arial"/>
                <w:b/>
                <w:bCs/>
                <w:sz w:val="22"/>
                <w:szCs w:val="22"/>
              </w:rPr>
            </w:pPr>
            <w:r w:rsidRPr="009124C2">
              <w:rPr>
                <w:rFonts w:cs="Arial"/>
                <w:b/>
                <w:bCs/>
                <w:sz w:val="22"/>
                <w:szCs w:val="22"/>
              </w:rPr>
              <w:t>4</w:t>
            </w:r>
          </w:p>
        </w:tc>
        <w:tc>
          <w:tcPr>
            <w:tcW w:w="1639" w:type="dxa"/>
            <w:vAlign w:val="center"/>
          </w:tcPr>
          <w:p w14:paraId="3A2ECF37" w14:textId="502F15E9" w:rsidR="00FA2A01" w:rsidRPr="00EB4BE2" w:rsidRDefault="00AC66F7" w:rsidP="00FA2A01">
            <w:pPr>
              <w:jc w:val="center"/>
              <w:rPr>
                <w:sz w:val="22"/>
                <w:szCs w:val="22"/>
              </w:rPr>
            </w:pPr>
            <w:r>
              <w:rPr>
                <w:sz w:val="22"/>
                <w:szCs w:val="22"/>
              </w:rPr>
              <w:t>31</w:t>
            </w:r>
            <w:r w:rsidR="00FA2A01">
              <w:rPr>
                <w:sz w:val="22"/>
                <w:szCs w:val="22"/>
              </w:rPr>
              <w:t>.0</w:t>
            </w:r>
            <w:r>
              <w:rPr>
                <w:sz w:val="22"/>
                <w:szCs w:val="22"/>
              </w:rPr>
              <w:t>3</w:t>
            </w:r>
            <w:r w:rsidR="00FA2A01">
              <w:rPr>
                <w:sz w:val="22"/>
                <w:szCs w:val="22"/>
              </w:rPr>
              <w:t>.2025</w:t>
            </w:r>
          </w:p>
        </w:tc>
        <w:tc>
          <w:tcPr>
            <w:tcW w:w="7487" w:type="dxa"/>
            <w:vAlign w:val="center"/>
          </w:tcPr>
          <w:p w14:paraId="28409704" w14:textId="77777777" w:rsidR="00FA2A01" w:rsidRDefault="00FA2A01" w:rsidP="00FA2A01">
            <w:pPr>
              <w:rPr>
                <w:rFonts w:cs="Arial"/>
                <w:sz w:val="22"/>
                <w:szCs w:val="22"/>
              </w:rPr>
            </w:pPr>
            <w:r w:rsidRPr="00FA2A01">
              <w:rPr>
                <w:rFonts w:cs="Arial"/>
                <w:sz w:val="22"/>
                <w:szCs w:val="22"/>
              </w:rPr>
              <w:t xml:space="preserve">Incontro: Louis Pasteur e Robert Koch pubblicano la microbica delle malattie infettive. Wilhelm Rontgen scopre i Raggi X. </w:t>
            </w:r>
          </w:p>
          <w:p w14:paraId="30D042A7" w14:textId="70A9BC30" w:rsidR="00FA2A01" w:rsidRPr="00FA2A01" w:rsidRDefault="00FA2A01" w:rsidP="00FA2A01">
            <w:pPr>
              <w:rPr>
                <w:rFonts w:cs="Arial"/>
                <w:sz w:val="14"/>
                <w:szCs w:val="14"/>
              </w:rPr>
            </w:pPr>
          </w:p>
        </w:tc>
      </w:tr>
      <w:tr w:rsidR="00FA2A01" w:rsidRPr="009124C2" w14:paraId="5E54F49D" w14:textId="77777777" w:rsidTr="00FA2A01">
        <w:trPr>
          <w:trHeight w:val="567"/>
        </w:trPr>
        <w:tc>
          <w:tcPr>
            <w:tcW w:w="385" w:type="dxa"/>
            <w:vAlign w:val="center"/>
          </w:tcPr>
          <w:p w14:paraId="694F3FAC" w14:textId="77777777" w:rsidR="00FA2A01" w:rsidRPr="009124C2" w:rsidRDefault="00FA2A01" w:rsidP="00FA2A01">
            <w:pPr>
              <w:jc w:val="center"/>
              <w:rPr>
                <w:rFonts w:cs="Arial"/>
                <w:b/>
                <w:bCs/>
                <w:sz w:val="22"/>
                <w:szCs w:val="22"/>
              </w:rPr>
            </w:pPr>
            <w:r>
              <w:rPr>
                <w:rFonts w:cs="Arial"/>
                <w:b/>
                <w:bCs/>
                <w:sz w:val="22"/>
                <w:szCs w:val="22"/>
              </w:rPr>
              <w:t>5</w:t>
            </w:r>
          </w:p>
        </w:tc>
        <w:tc>
          <w:tcPr>
            <w:tcW w:w="1639" w:type="dxa"/>
            <w:vAlign w:val="center"/>
          </w:tcPr>
          <w:p w14:paraId="204A9B9A" w14:textId="77E156FF" w:rsidR="00FA2A01" w:rsidRPr="009124C2" w:rsidRDefault="00FA2A01" w:rsidP="00FA2A01">
            <w:pPr>
              <w:ind w:left="57"/>
              <w:jc w:val="center"/>
              <w:rPr>
                <w:sz w:val="22"/>
                <w:szCs w:val="22"/>
              </w:rPr>
            </w:pPr>
            <w:r>
              <w:rPr>
                <w:sz w:val="22"/>
                <w:szCs w:val="22"/>
              </w:rPr>
              <w:t>0</w:t>
            </w:r>
            <w:r w:rsidR="00AC66F7">
              <w:rPr>
                <w:sz w:val="22"/>
                <w:szCs w:val="22"/>
              </w:rPr>
              <w:t>7</w:t>
            </w:r>
            <w:r>
              <w:rPr>
                <w:sz w:val="22"/>
                <w:szCs w:val="22"/>
              </w:rPr>
              <w:t>.04.2025</w:t>
            </w:r>
          </w:p>
        </w:tc>
        <w:tc>
          <w:tcPr>
            <w:tcW w:w="7487" w:type="dxa"/>
            <w:vAlign w:val="center"/>
          </w:tcPr>
          <w:p w14:paraId="69402EEC" w14:textId="38D19357" w:rsidR="00FA2A01" w:rsidRPr="00FA2A01" w:rsidRDefault="00FA2A01" w:rsidP="00FA2A01">
            <w:pPr>
              <w:rPr>
                <w:rFonts w:cs="Arial"/>
                <w:i/>
                <w:iCs/>
                <w:sz w:val="22"/>
                <w:szCs w:val="22"/>
              </w:rPr>
            </w:pPr>
            <w:r w:rsidRPr="00FA2A01">
              <w:rPr>
                <w:rFonts w:cs="Arial"/>
                <w:sz w:val="22"/>
                <w:szCs w:val="22"/>
              </w:rPr>
              <w:t>Incontro: Alexander Fl</w:t>
            </w:r>
            <w:r w:rsidR="005C4806">
              <w:rPr>
                <w:rFonts w:cs="Arial"/>
                <w:sz w:val="22"/>
                <w:szCs w:val="22"/>
              </w:rPr>
              <w:t>e</w:t>
            </w:r>
            <w:r w:rsidRPr="00FA2A01">
              <w:rPr>
                <w:rFonts w:cs="Arial"/>
                <w:sz w:val="22"/>
                <w:szCs w:val="22"/>
              </w:rPr>
              <w:t xml:space="preserve">ming pubblica la scoperta della penicillina. Thomas Hunt Morgan scopre i cromosomi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B412C"/>
    <w:rsid w:val="001E15FA"/>
    <w:rsid w:val="00262A85"/>
    <w:rsid w:val="00422C2B"/>
    <w:rsid w:val="00437D8A"/>
    <w:rsid w:val="004C62B7"/>
    <w:rsid w:val="00533E72"/>
    <w:rsid w:val="00565751"/>
    <w:rsid w:val="005C4806"/>
    <w:rsid w:val="005E73CA"/>
    <w:rsid w:val="0065424A"/>
    <w:rsid w:val="006F5D66"/>
    <w:rsid w:val="007737F1"/>
    <w:rsid w:val="007E683C"/>
    <w:rsid w:val="008052CE"/>
    <w:rsid w:val="00826846"/>
    <w:rsid w:val="008A65D3"/>
    <w:rsid w:val="00967B0C"/>
    <w:rsid w:val="00A24312"/>
    <w:rsid w:val="00AC66F7"/>
    <w:rsid w:val="00B64D67"/>
    <w:rsid w:val="00C8011A"/>
    <w:rsid w:val="00CB6454"/>
    <w:rsid w:val="00CE0E41"/>
    <w:rsid w:val="00D81A24"/>
    <w:rsid w:val="00D87687"/>
    <w:rsid w:val="00DB0B6D"/>
    <w:rsid w:val="00E17078"/>
    <w:rsid w:val="00FA2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2</cp:revision>
  <dcterms:created xsi:type="dcterms:W3CDTF">2024-12-02T11:13:00Z</dcterms:created>
  <dcterms:modified xsi:type="dcterms:W3CDTF">2024-12-02T11:13:00Z</dcterms:modified>
</cp:coreProperties>
</file>