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02" w:rsidRDefault="002B6ECC">
      <w:pPr>
        <w:pStyle w:val="Corpo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-132079</wp:posOffset>
            </wp:positionV>
            <wp:extent cx="605791" cy="79756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U_200X261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U_200X261 " descr="TU_200X261 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1" cy="797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  <w:szCs w:val="60"/>
        </w:rPr>
        <w:t xml:space="preserve">Tu - </w:t>
      </w:r>
      <w:r>
        <w:rPr>
          <w:b/>
          <w:bCs/>
          <w:sz w:val="40"/>
          <w:szCs w:val="40"/>
          <w:lang w:val="de-DE"/>
        </w:rPr>
        <w:t>TERZA UNIVERSIT</w:t>
      </w:r>
      <w:r>
        <w:rPr>
          <w:b/>
          <w:bCs/>
          <w:sz w:val="40"/>
          <w:szCs w:val="40"/>
          <w:lang w:val="fr-FR"/>
        </w:rPr>
        <w:t xml:space="preserve">À </w:t>
      </w:r>
      <w:r>
        <w:rPr>
          <w:b/>
          <w:bCs/>
          <w:sz w:val="40"/>
          <w:szCs w:val="40"/>
        </w:rPr>
        <w:t>- 2025/26</w:t>
      </w:r>
    </w:p>
    <w:p w:rsidR="00445A02" w:rsidRDefault="002B6ECC">
      <w:pPr>
        <w:pStyle w:val="Intestazione"/>
        <w:tabs>
          <w:tab w:val="clear" w:pos="9638"/>
          <w:tab w:val="right" w:pos="9612"/>
        </w:tabs>
        <w:rPr>
          <w:b/>
          <w:bCs/>
          <w:color w:val="00B050"/>
          <w:sz w:val="24"/>
          <w:szCs w:val="24"/>
          <w:u w:color="00B050"/>
        </w:rPr>
      </w:pPr>
      <w:r>
        <w:rPr>
          <w:color w:val="00B050"/>
          <w:u w:color="00B050"/>
        </w:rPr>
        <w:t xml:space="preserve">                                                           Bergamo -</w:t>
      </w:r>
      <w:r>
        <w:rPr>
          <w:b/>
          <w:bCs/>
          <w:color w:val="00B050"/>
          <w:u w:color="00B050"/>
        </w:rPr>
        <w:t xml:space="preserve"> </w:t>
      </w:r>
      <w:r>
        <w:rPr>
          <w:b/>
          <w:bCs/>
          <w:color w:val="00B050"/>
          <w:sz w:val="24"/>
          <w:szCs w:val="24"/>
          <w:u w:color="00B050"/>
        </w:rPr>
        <w:t>PRIMA FASE</w:t>
      </w:r>
    </w:p>
    <w:p w:rsidR="00445A02" w:rsidRDefault="00445A02">
      <w:pPr>
        <w:pStyle w:val="Corpo"/>
        <w:rPr>
          <w:sz w:val="20"/>
          <w:szCs w:val="20"/>
        </w:rPr>
      </w:pPr>
    </w:p>
    <w:p w:rsidR="00445A02" w:rsidRDefault="00445A02">
      <w:pPr>
        <w:pStyle w:val="Corpo"/>
        <w:rPr>
          <w:sz w:val="20"/>
          <w:szCs w:val="20"/>
        </w:rPr>
      </w:pPr>
    </w:p>
    <w:p w:rsidR="00445A02" w:rsidRDefault="00445A02">
      <w:pPr>
        <w:pStyle w:val="Corpo"/>
        <w:rPr>
          <w:sz w:val="20"/>
          <w:szCs w:val="20"/>
        </w:rPr>
      </w:pPr>
    </w:p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852"/>
        <w:gridCol w:w="7087"/>
      </w:tblGrid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both"/>
            </w:pPr>
            <w:r>
              <w:rPr>
                <w:b/>
                <w:bCs/>
                <w:i/>
                <w:iCs/>
              </w:rPr>
              <w:t xml:space="preserve">SIAMO FATTI ANCHE DI CIÒ CHE ABBIAMO PERDUTO </w:t>
            </w:r>
            <w:r>
              <w:rPr>
                <w:i/>
                <w:iCs/>
              </w:rPr>
              <w:t>(NUOVO)</w:t>
            </w:r>
          </w:p>
        </w:tc>
      </w:tr>
    </w:tbl>
    <w:p w:rsidR="00445A02" w:rsidRDefault="00445A02">
      <w:pPr>
        <w:pStyle w:val="Corpo"/>
        <w:widowControl w:val="0"/>
        <w:rPr>
          <w:sz w:val="20"/>
          <w:szCs w:val="20"/>
        </w:rPr>
      </w:pPr>
    </w:p>
    <w:p w:rsidR="00445A02" w:rsidRDefault="00445A02">
      <w:pPr>
        <w:pStyle w:val="Corpo"/>
        <w:rPr>
          <w:sz w:val="22"/>
          <w:szCs w:val="22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909"/>
      </w:tblGrid>
      <w:tr w:rsidR="0044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</w:rPr>
              <w:t>Norma Casali</w:t>
            </w:r>
          </w:p>
        </w:tc>
      </w:tr>
      <w:tr w:rsidR="0044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</w:pPr>
            <w:r>
              <w:rPr>
                <w:sz w:val="22"/>
                <w:szCs w:val="22"/>
              </w:rPr>
              <w:t>Martedì</w:t>
            </w:r>
          </w:p>
        </w:tc>
      </w:tr>
      <w:tr w:rsidR="0044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 w:rsidP="00D64D71">
            <w:pPr>
              <w:pStyle w:val="Corpo"/>
            </w:pPr>
            <w:r>
              <w:rPr>
                <w:sz w:val="22"/>
                <w:szCs w:val="22"/>
              </w:rPr>
              <w:t xml:space="preserve">9.30 </w:t>
            </w:r>
            <w:r w:rsidR="00D64D7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11.45</w:t>
            </w:r>
          </w:p>
        </w:tc>
      </w:tr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</w:pPr>
            <w:r>
              <w:rPr>
                <w:sz w:val="22"/>
                <w:szCs w:val="22"/>
              </w:rPr>
              <w:t>Dal 4 novembre al 2 dicembre 2025 (5 incontri - € 20,00)</w:t>
            </w:r>
          </w:p>
        </w:tc>
      </w:tr>
      <w:tr w:rsidR="0044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both"/>
            </w:pPr>
            <w:r>
              <w:rPr>
                <w:sz w:val="22"/>
                <w:szCs w:val="22"/>
              </w:rPr>
              <w:t xml:space="preserve">Il Conventino, via </w:t>
            </w:r>
            <w:proofErr w:type="spellStart"/>
            <w:r>
              <w:rPr>
                <w:sz w:val="22"/>
                <w:szCs w:val="22"/>
              </w:rPr>
              <w:t>Gavazzeni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</w:p>
        </w:tc>
      </w:tr>
      <w:tr w:rsidR="0044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 w:rsidP="00D64D71">
            <w:pPr>
              <w:pStyle w:val="Corpo"/>
              <w:jc w:val="both"/>
            </w:pPr>
            <w:r>
              <w:rPr>
                <w:b/>
                <w:bCs/>
                <w:sz w:val="22"/>
                <w:szCs w:val="22"/>
              </w:rPr>
              <w:t>PSICOLOGIA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Il corso affronta la tematica dell’elaborazione del lutto, inteso come la perdita di una persona amata. Le </w:t>
            </w:r>
            <w:r>
              <w:rPr>
                <w:i/>
                <w:iCs/>
                <w:sz w:val="22"/>
                <w:szCs w:val="22"/>
              </w:rPr>
              <w:t xml:space="preserve">diverse </w:t>
            </w:r>
            <w:proofErr w:type="spellStart"/>
            <w:r>
              <w:rPr>
                <w:i/>
                <w:iCs/>
                <w:sz w:val="22"/>
                <w:szCs w:val="22"/>
              </w:rPr>
              <w:t>modalita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̀ per attraversare un lutto sono relazionali e uniche. </w:t>
            </w:r>
            <w:proofErr w:type="spellStart"/>
            <w:r>
              <w:rPr>
                <w:i/>
                <w:iCs/>
                <w:sz w:val="22"/>
                <w:szCs w:val="22"/>
              </w:rPr>
              <w:t>Verra</w:t>
            </w:r>
            <w:proofErr w:type="spellEnd"/>
            <w:r>
              <w:rPr>
                <w:i/>
                <w:iCs/>
                <w:sz w:val="22"/>
                <w:szCs w:val="22"/>
              </w:rPr>
              <w:t>̀ spiegato cosa significa trovarsi nell’impossibilità di elaborare un lutto e l’angoscia melanconica che ne deriva, così come la negazione del lutto stesso, fino ad arrivare a co</w:t>
            </w:r>
            <w:r>
              <w:rPr>
                <w:i/>
                <w:iCs/>
                <w:sz w:val="22"/>
                <w:szCs w:val="22"/>
              </w:rPr>
              <w:t xml:space="preserve">mprendere in cosa consiste l’elaborazione sana della perdita della persona amata. Si </w:t>
            </w:r>
            <w:proofErr w:type="spellStart"/>
            <w:r>
              <w:rPr>
                <w:i/>
                <w:iCs/>
                <w:sz w:val="22"/>
                <w:szCs w:val="22"/>
              </w:rPr>
              <w:t>partira</w:t>
            </w:r>
            <w:proofErr w:type="spellEnd"/>
            <w:r>
              <w:rPr>
                <w:i/>
                <w:iCs/>
                <w:sz w:val="22"/>
                <w:szCs w:val="22"/>
              </w:rPr>
              <w:t>̀ dalla memoria, dolorosa, nelle sue diverse forme, fino ad arrivare a sentire la presenza dell’assenza dell’altro come nuovo modo di proiettarsi nel futuro e ricom</w:t>
            </w:r>
            <w:r>
              <w:rPr>
                <w:i/>
                <w:iCs/>
                <w:sz w:val="22"/>
                <w:szCs w:val="22"/>
              </w:rPr>
              <w:t>inciare ad immaginare. Da lì, si passerà all’incontro della nostalgia, fatta di gratitudine per la vita.</w:t>
            </w:r>
          </w:p>
        </w:tc>
      </w:tr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5A02" w:rsidRPr="00D64D71" w:rsidRDefault="00445A02">
            <w:pPr>
              <w:rPr>
                <w:lang w:val="it-IT"/>
              </w:rPr>
            </w:pP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5A02" w:rsidRPr="00D64D71" w:rsidRDefault="00445A02">
            <w:pPr>
              <w:rPr>
                <w:lang w:val="it-IT"/>
              </w:rPr>
            </w:pPr>
          </w:p>
        </w:tc>
      </w:tr>
    </w:tbl>
    <w:p w:rsidR="00445A02" w:rsidRDefault="00445A02">
      <w:pPr>
        <w:pStyle w:val="Corpo"/>
        <w:widowControl w:val="0"/>
        <w:rPr>
          <w:sz w:val="22"/>
          <w:szCs w:val="22"/>
        </w:rPr>
      </w:pPr>
    </w:p>
    <w:p w:rsidR="00445A02" w:rsidRDefault="00445A02">
      <w:pPr>
        <w:pStyle w:val="Corpo"/>
        <w:rPr>
          <w:b/>
          <w:bCs/>
          <w:sz w:val="24"/>
          <w:szCs w:val="24"/>
        </w:rPr>
      </w:pPr>
    </w:p>
    <w:p w:rsidR="00445A02" w:rsidRDefault="002B6ECC">
      <w:pPr>
        <w:pStyle w:val="Corp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Calendario  </w:t>
      </w:r>
    </w:p>
    <w:p w:rsidR="00445A02" w:rsidRDefault="00445A02">
      <w:pPr>
        <w:pStyle w:val="Corpo"/>
        <w:rPr>
          <w:b/>
          <w:bCs/>
          <w:sz w:val="24"/>
          <w:szCs w:val="24"/>
        </w:rPr>
      </w:pPr>
    </w:p>
    <w:tbl>
      <w:tblPr>
        <w:tblStyle w:val="TableNormal"/>
        <w:tblW w:w="95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38"/>
        <w:gridCol w:w="7488"/>
      </w:tblGrid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ind w:left="57"/>
              <w:jc w:val="center"/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La prima giornata del corso </w:t>
            </w:r>
            <w:r>
              <w:rPr>
                <w:rFonts w:ascii="Helvetica" w:hAnsi="Helvetica"/>
              </w:rPr>
              <w:t xml:space="preserve">è </w:t>
            </w:r>
            <w:r>
              <w:rPr>
                <w:rFonts w:ascii="Helvetica" w:hAnsi="Helvetica"/>
              </w:rPr>
              <w:t xml:space="preserve">finalizzata ad analizzare il fenomeno del lutto descrivendone le caratteristiche </w:t>
            </w:r>
            <w:r>
              <w:rPr>
                <w:rFonts w:ascii="Helvetica" w:hAnsi="Helvetica"/>
              </w:rPr>
              <w:t>psicologiche fondamentali. Sebbene ogni percorso di lutto sia unico, la letteratura psicologica ha identificato modelli ricorrenti. Si vedranno le diverse manifestazioni del lutto, che possono essere eterogenee e coinvolgere diverse sf</w:t>
            </w:r>
            <w:r>
              <w:rPr>
                <w:rFonts w:ascii="Helvetica" w:hAnsi="Helvetica"/>
              </w:rPr>
              <w:t>e</w:t>
            </w:r>
            <w:r>
              <w:rPr>
                <w:rFonts w:ascii="Helvetica" w:hAnsi="Helvetica"/>
              </w:rPr>
              <w:t>re dell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individuo: d</w:t>
            </w:r>
            <w:r>
              <w:rPr>
                <w:rFonts w:ascii="Helvetica" w:hAnsi="Helvetica"/>
              </w:rPr>
              <w:t>alle reazioni cognitive: difficolt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di concentrazione, pensieri ossessivi sulla persona perduta, senso di irrealt</w:t>
            </w:r>
            <w:r>
              <w:rPr>
                <w:rFonts w:ascii="Helvetica" w:hAnsi="Helvetica"/>
              </w:rPr>
              <w:t>à</w:t>
            </w:r>
            <w:r>
              <w:rPr>
                <w:rFonts w:ascii="Helvetica" w:hAnsi="Helvetica"/>
              </w:rPr>
              <w:t>, confusi</w:t>
            </w:r>
            <w:r>
              <w:rPr>
                <w:rFonts w:ascii="Helvetica" w:hAnsi="Helvetica"/>
              </w:rPr>
              <w:t>o</w:t>
            </w:r>
            <w:r>
              <w:rPr>
                <w:rFonts w:ascii="Helvetica" w:hAnsi="Helvetica"/>
              </w:rPr>
              <w:t>ne, ricerca di un significato nella perdita; alle reazioni emotive: tr</w:t>
            </w:r>
            <w:r>
              <w:rPr>
                <w:rFonts w:ascii="Helvetica" w:hAnsi="Helvetica"/>
              </w:rPr>
              <w:t>i</w:t>
            </w:r>
            <w:r>
              <w:rPr>
                <w:rFonts w:ascii="Helvetica" w:hAnsi="Helvetica"/>
              </w:rPr>
              <w:t>stezza profonda, rabbia, senso di colpa, ansia (spesso legata</w:t>
            </w:r>
            <w:r>
              <w:rPr>
                <w:rFonts w:ascii="Helvetica" w:hAnsi="Helvetica"/>
              </w:rPr>
              <w:t xml:space="preserve"> alla paura di perdere altre persone o di non essere in grado di farcela da soli), solitudine, shock, </w:t>
            </w:r>
            <w:proofErr w:type="spellStart"/>
            <w:r>
              <w:rPr>
                <w:rFonts w:ascii="Helvetica" w:hAnsi="Helvetica"/>
              </w:rPr>
              <w:t>anedonia</w:t>
            </w:r>
            <w:proofErr w:type="spellEnd"/>
            <w:r>
              <w:rPr>
                <w:rFonts w:ascii="Helvetica" w:hAnsi="Helvetica"/>
              </w:rPr>
              <w:t>;  fino alle reazioni fisiche e alle re</w:t>
            </w:r>
            <w:r>
              <w:rPr>
                <w:rFonts w:ascii="Helvetica" w:hAnsi="Helvetica"/>
              </w:rPr>
              <w:t>a</w:t>
            </w:r>
            <w:r>
              <w:rPr>
                <w:rFonts w:ascii="Helvetica" w:hAnsi="Helvetica"/>
              </w:rPr>
              <w:t xml:space="preserve">zioni comportamentali. </w:t>
            </w:r>
          </w:p>
        </w:tc>
      </w:tr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ind w:left="57"/>
              <w:jc w:val="center"/>
            </w:pPr>
            <w:r>
              <w:rPr>
                <w:sz w:val="22"/>
                <w:szCs w:val="22"/>
              </w:rPr>
              <w:t>11.11.2025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Nella seconda giornata verr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 xml:space="preserve">affrontata la tematica che descrive le </w:t>
            </w:r>
            <w:r>
              <w:rPr>
                <w:rFonts w:ascii="Helvetica" w:hAnsi="Helvetica"/>
              </w:rPr>
              <w:t>cinque fasi del lutto, non necessariamente sequenziali: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La Negazione, la Rabbia, la Contrattazione, la Depressione 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Accettazione.</w:t>
            </w:r>
          </w:p>
        </w:tc>
      </w:tr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ind w:left="57"/>
              <w:jc w:val="center"/>
            </w:pPr>
            <w:r>
              <w:rPr>
                <w:sz w:val="22"/>
                <w:szCs w:val="22"/>
              </w:rPr>
              <w:t>18.11.2025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La terza giornata del corso </w:t>
            </w:r>
            <w:r>
              <w:rPr>
                <w:rFonts w:ascii="Helvetica" w:hAnsi="Helvetica"/>
              </w:rPr>
              <w:t xml:space="preserve">è </w:t>
            </w:r>
            <w:r>
              <w:rPr>
                <w:rFonts w:ascii="Helvetica" w:hAnsi="Helvetica"/>
              </w:rPr>
              <w:t xml:space="preserve">dedicata al lutto nella rappresentazione cinematografica; il cinema esplora </w:t>
            </w:r>
            <w:r>
              <w:rPr>
                <w:rFonts w:ascii="Helvetica" w:hAnsi="Helvetica"/>
              </w:rPr>
              <w:t>spesso il tema del lutto, offrendo potenti narrazioni visive che permettono l'identificazione e la catarsi dello spettatore.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Si dialogher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sul tema partendo dalla discussione dei seguenti film (si consiglia la preventiva visione):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Il Filo nascosto (2017), </w:t>
            </w:r>
            <w:r>
              <w:rPr>
                <w:rFonts w:ascii="Helvetica" w:hAnsi="Helvetica"/>
              </w:rPr>
              <w:t>film scritto, diretto e co-prodotto da Paul Thomas Anderson;;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Manchester by the Sea (2016), film scritto e diretto da Kenneth </w:t>
            </w:r>
            <w:proofErr w:type="spellStart"/>
            <w:r>
              <w:rPr>
                <w:rFonts w:ascii="Helvetica" w:hAnsi="Helvetica"/>
              </w:rPr>
              <w:t>Lo</w:t>
            </w:r>
            <w:r>
              <w:rPr>
                <w:rFonts w:ascii="Helvetica" w:hAnsi="Helvetica"/>
              </w:rPr>
              <w:t>o</w:t>
            </w:r>
            <w:r>
              <w:rPr>
                <w:rFonts w:ascii="Helvetica" w:hAnsi="Helvetica"/>
              </w:rPr>
              <w:t>nergan</w:t>
            </w:r>
            <w:proofErr w:type="spellEnd"/>
            <w:r>
              <w:rPr>
                <w:rFonts w:ascii="Helvetica" w:hAnsi="Helvetica"/>
              </w:rPr>
              <w:t>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Up (2009), film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 xml:space="preserve">animazione scritto e diretto da Pete </w:t>
            </w:r>
            <w:proofErr w:type="spellStart"/>
            <w:r>
              <w:rPr>
                <w:rFonts w:ascii="Helvetica" w:hAnsi="Helvetica"/>
              </w:rPr>
              <w:t>Docter</w:t>
            </w:r>
            <w:proofErr w:type="spellEnd"/>
            <w:r>
              <w:rPr>
                <w:rFonts w:ascii="Helvetica" w:hAnsi="Helvetica"/>
              </w:rPr>
              <w:t xml:space="preserve"> e Bob </w:t>
            </w:r>
            <w:proofErr w:type="spellStart"/>
            <w:r>
              <w:rPr>
                <w:rFonts w:ascii="Helvetica" w:hAnsi="Helvetica"/>
              </w:rPr>
              <w:t>Peterson</w:t>
            </w:r>
            <w:proofErr w:type="spellEnd"/>
            <w:r>
              <w:rPr>
                <w:rFonts w:ascii="Helvetica" w:hAnsi="Helvetica"/>
              </w:rPr>
              <w:t xml:space="preserve">; 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proofErr w:type="spellStart"/>
            <w:r>
              <w:rPr>
                <w:rFonts w:ascii="Helvetica" w:hAnsi="Helvetica"/>
              </w:rPr>
              <w:t>Arrival</w:t>
            </w:r>
            <w:proofErr w:type="spellEnd"/>
            <w:r>
              <w:rPr>
                <w:rFonts w:ascii="Helvetica" w:hAnsi="Helvetica"/>
              </w:rPr>
              <w:t xml:space="preserve"> (2016) film di Denis Villeneuve;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Coco (2017): film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 xml:space="preserve">animazione della </w:t>
            </w:r>
            <w:proofErr w:type="spellStart"/>
            <w:r>
              <w:rPr>
                <w:rFonts w:ascii="Helvetica" w:hAnsi="Helvetica"/>
              </w:rPr>
              <w:t>Pixar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Animaton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Studios</w:t>
            </w:r>
            <w:proofErr w:type="spellEnd"/>
            <w:r>
              <w:rPr>
                <w:rFonts w:ascii="Helvetica" w:hAnsi="Helvetica"/>
              </w:rPr>
              <w:t>.</w:t>
            </w:r>
          </w:p>
        </w:tc>
      </w:tr>
      <w:tr w:rsidR="0044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sz w:val="22"/>
                <w:szCs w:val="22"/>
              </w:rPr>
              <w:t>25.11.2025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La quarta giornata </w:t>
            </w:r>
            <w:r>
              <w:rPr>
                <w:rFonts w:ascii="Helvetica" w:hAnsi="Helvetica"/>
              </w:rPr>
              <w:t xml:space="preserve">è </w:t>
            </w:r>
            <w:r>
              <w:rPr>
                <w:rFonts w:ascii="Helvetica" w:hAnsi="Helvetica"/>
              </w:rPr>
              <w:t>dedicata alle connessioni tra musica e lutto.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La musica, con la sua capacit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 xml:space="preserve">di evocare emozioni immediate, </w:t>
            </w:r>
            <w:r>
              <w:rPr>
                <w:rFonts w:ascii="Helvetica" w:hAnsi="Helvetica"/>
              </w:rPr>
              <w:t xml:space="preserve">è </w:t>
            </w:r>
            <w:r>
              <w:rPr>
                <w:rFonts w:ascii="Helvetica" w:hAnsi="Helvetica"/>
              </w:rPr>
              <w:t>da sempre un canale privilegiato per esprimere il</w:t>
            </w:r>
            <w:r>
              <w:rPr>
                <w:rFonts w:ascii="Helvetica" w:hAnsi="Helvetica"/>
              </w:rPr>
              <w:t xml:space="preserve"> dolore della perdita.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Si ascolteranno le seguenti canzoni da cui partir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un dialogo costru</w:t>
            </w:r>
            <w:r>
              <w:rPr>
                <w:rFonts w:ascii="Helvetica" w:hAnsi="Helvetica"/>
              </w:rPr>
              <w:t>t</w:t>
            </w:r>
            <w:r>
              <w:rPr>
                <w:rFonts w:ascii="Helvetica" w:hAnsi="Helvetica"/>
              </w:rPr>
              <w:t>tivo:</w:t>
            </w:r>
          </w:p>
          <w:p w:rsidR="00445A02" w:rsidRPr="00D64D71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  <w:rPr>
                <w:lang w:val="en-US"/>
              </w:rPr>
            </w:pPr>
            <w:r w:rsidRPr="00D64D71">
              <w:rPr>
                <w:rFonts w:ascii="Helvetica" w:hAnsi="Helvetica"/>
                <w:lang w:val="en-US"/>
              </w:rPr>
              <w:t>Tears in Heaven - Eric Clapton (1992);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Gli Angeli - Vasco Rossi (1996);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Love Song - Roberto Vecchioni (1997);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Tracce di te - Francesco Renga (2002);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Mandaci u</w:t>
            </w:r>
            <w:r>
              <w:rPr>
                <w:rFonts w:ascii="Helvetica" w:hAnsi="Helvetica"/>
              </w:rPr>
              <w:t>na cartolina - Carmen Consoli (2006);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Le tasche piene di sassi - Jovanotti (2011);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 xml:space="preserve">Lo sa da qui - </w:t>
            </w:r>
            <w:proofErr w:type="spellStart"/>
            <w:r>
              <w:rPr>
                <w:rFonts w:ascii="Helvetica" w:hAnsi="Helvetica"/>
              </w:rPr>
              <w:t>Negramaro</w:t>
            </w:r>
            <w:proofErr w:type="spellEnd"/>
            <w:r>
              <w:rPr>
                <w:rFonts w:ascii="Helvetica" w:hAnsi="Helvetica"/>
              </w:rPr>
              <w:t xml:space="preserve"> (2015);</w:t>
            </w:r>
          </w:p>
          <w:p w:rsidR="00445A02" w:rsidRPr="00D64D71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  <w:rPr>
                <w:lang w:val="en-US"/>
              </w:rPr>
            </w:pPr>
            <w:proofErr w:type="spellStart"/>
            <w:r w:rsidRPr="00D64D71">
              <w:rPr>
                <w:rFonts w:ascii="Helvetica" w:hAnsi="Helvetica"/>
                <w:lang w:val="en-US"/>
              </w:rPr>
              <w:t>Cieli</w:t>
            </w:r>
            <w:proofErr w:type="spellEnd"/>
            <w:r w:rsidRPr="00D64D71"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 w:rsidRPr="00D64D71">
              <w:rPr>
                <w:rFonts w:ascii="Helvetica" w:hAnsi="Helvetica"/>
                <w:lang w:val="en-US"/>
              </w:rPr>
              <w:t>immensi</w:t>
            </w:r>
            <w:proofErr w:type="spellEnd"/>
            <w:r w:rsidRPr="00D64D71">
              <w:rPr>
                <w:rFonts w:ascii="Helvetica" w:hAnsi="Helvetica"/>
                <w:lang w:val="en-US"/>
              </w:rPr>
              <w:t xml:space="preserve"> - Patty </w:t>
            </w:r>
            <w:proofErr w:type="spellStart"/>
            <w:r w:rsidRPr="00D64D71">
              <w:rPr>
                <w:rFonts w:ascii="Helvetica" w:hAnsi="Helvetica"/>
                <w:lang w:val="en-US"/>
              </w:rPr>
              <w:t>Pravo</w:t>
            </w:r>
            <w:proofErr w:type="spellEnd"/>
            <w:r w:rsidRPr="00D64D71">
              <w:rPr>
                <w:rFonts w:ascii="Helvetica" w:hAnsi="Helvetica"/>
                <w:lang w:val="en-US"/>
              </w:rPr>
              <w:t xml:space="preserve"> (2016);</w:t>
            </w:r>
          </w:p>
          <w:p w:rsidR="00445A02" w:rsidRPr="00D64D71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  <w:rPr>
                <w:lang w:val="en-US"/>
              </w:rPr>
            </w:pPr>
            <w:r w:rsidRPr="00D64D71">
              <w:rPr>
                <w:rFonts w:ascii="Helvetica" w:hAnsi="Helvetica"/>
                <w:lang w:val="en-US"/>
              </w:rPr>
              <w:t>One more light - Linking Park (2017);</w:t>
            </w:r>
          </w:p>
          <w:p w:rsidR="00445A02" w:rsidRPr="00D64D71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  <w:rPr>
                <w:lang w:val="en-US"/>
              </w:rPr>
            </w:pPr>
            <w:r w:rsidRPr="00D64D71">
              <w:rPr>
                <w:rFonts w:ascii="Helvetica" w:hAnsi="Helvetica"/>
                <w:lang w:val="en-US"/>
              </w:rPr>
              <w:t>Bright Horses - Nick Cave and Bad Seeds (2019)</w:t>
            </w:r>
          </w:p>
        </w:tc>
      </w:tr>
      <w:tr w:rsidR="00445A02" w:rsidRPr="00D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Corpo"/>
              <w:ind w:left="57"/>
              <w:jc w:val="center"/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Giornata conclusiva dedicata alle connessioni tra la Bibbia e il lutto: i testi sacri della tradizione giudaico-cristiana offrono molteplici pr</w:t>
            </w:r>
            <w:r>
              <w:rPr>
                <w:rFonts w:ascii="Helvetica" w:hAnsi="Helvetica"/>
              </w:rPr>
              <w:t>o</w:t>
            </w:r>
            <w:r>
              <w:rPr>
                <w:rFonts w:ascii="Helvetica" w:hAnsi="Helvetica"/>
              </w:rPr>
              <w:t>spettive sul lutto, riconoscendone la legittimit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e offrendo al conte</w:t>
            </w:r>
            <w:r>
              <w:rPr>
                <w:rFonts w:ascii="Helvetica" w:hAnsi="Helvetica"/>
              </w:rPr>
              <w:t>m</w:t>
            </w:r>
            <w:r>
              <w:rPr>
                <w:rFonts w:ascii="Helvetica" w:hAnsi="Helvetica"/>
              </w:rPr>
              <w:t>po una cornice di speranza.</w:t>
            </w:r>
          </w:p>
          <w:p w:rsidR="00445A02" w:rsidRDefault="002B6E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jc w:val="both"/>
            </w:pPr>
            <w:r>
              <w:rPr>
                <w:rFonts w:ascii="Helvetica" w:hAnsi="Helvetica"/>
              </w:rPr>
              <w:t>Al termine del</w:t>
            </w:r>
            <w:r>
              <w:rPr>
                <w:rFonts w:ascii="Helvetica" w:hAnsi="Helvetica"/>
              </w:rPr>
              <w:t xml:space="preserve"> corso viene inoltre proposto un laboratorio esperie</w:t>
            </w:r>
            <w:r>
              <w:rPr>
                <w:rFonts w:ascii="Helvetica" w:hAnsi="Helvetica"/>
              </w:rPr>
              <w:t>n</w:t>
            </w:r>
            <w:r>
              <w:rPr>
                <w:rFonts w:ascii="Helvetica" w:hAnsi="Helvetica"/>
              </w:rPr>
              <w:t>ziale come contributo alla comprensione del lutto quale un'esperie</w:t>
            </w:r>
            <w:r>
              <w:rPr>
                <w:rFonts w:ascii="Helvetica" w:hAnsi="Helvetica"/>
              </w:rPr>
              <w:t>n</w:t>
            </w:r>
            <w:r>
              <w:rPr>
                <w:rFonts w:ascii="Helvetica" w:hAnsi="Helvetica"/>
              </w:rPr>
              <w:t>za umana fondamentale.</w:t>
            </w:r>
          </w:p>
        </w:tc>
      </w:tr>
    </w:tbl>
    <w:p w:rsidR="00445A02" w:rsidRDefault="00445A02">
      <w:pPr>
        <w:pStyle w:val="Corpo"/>
        <w:rPr>
          <w:rFonts w:ascii="Times New Roman" w:eastAsia="Times New Roman" w:hAnsi="Times New Roman" w:cs="Times New Roman"/>
        </w:rPr>
      </w:pPr>
    </w:p>
    <w:p w:rsidR="00445A02" w:rsidRDefault="00445A02">
      <w:pPr>
        <w:pStyle w:val="Corpo"/>
        <w:rPr>
          <w:b/>
          <w:bCs/>
          <w:sz w:val="24"/>
          <w:szCs w:val="24"/>
        </w:rPr>
      </w:pPr>
    </w:p>
    <w:p w:rsidR="00445A02" w:rsidRDefault="00445A02">
      <w:pPr>
        <w:pStyle w:val="Corpo"/>
        <w:rPr>
          <w:b/>
          <w:bCs/>
          <w:sz w:val="24"/>
          <w:szCs w:val="24"/>
        </w:rPr>
      </w:pPr>
    </w:p>
    <w:p w:rsidR="00445A02" w:rsidRDefault="00445A02">
      <w:pPr>
        <w:pStyle w:val="Corpo"/>
        <w:rPr>
          <w:sz w:val="22"/>
          <w:szCs w:val="22"/>
        </w:rPr>
      </w:pPr>
    </w:p>
    <w:p w:rsidR="00445A02" w:rsidRDefault="00445A02">
      <w:pPr>
        <w:pStyle w:val="Corpo"/>
      </w:pPr>
    </w:p>
    <w:sectPr w:rsidR="00445A02">
      <w:headerReference w:type="default" r:id="rId8"/>
      <w:footerReference w:type="default" r:id="rId9"/>
      <w:pgSz w:w="11900" w:h="16840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6ECC">
      <w:r>
        <w:separator/>
      </w:r>
    </w:p>
  </w:endnote>
  <w:endnote w:type="continuationSeparator" w:id="0">
    <w:p w:rsidR="00000000" w:rsidRDefault="002B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02" w:rsidRDefault="00445A02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6ECC">
      <w:r>
        <w:separator/>
      </w:r>
    </w:p>
  </w:footnote>
  <w:footnote w:type="continuationSeparator" w:id="0">
    <w:p w:rsidR="00000000" w:rsidRDefault="002B6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02" w:rsidRDefault="00445A0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revisionView w:formatting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5A02"/>
    <w:rsid w:val="002B6ECC"/>
    <w:rsid w:val="00445A02"/>
    <w:rsid w:val="00D6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</w:pPr>
    <w:rPr>
      <w:rFonts w:ascii="Arial" w:hAnsi="Arial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sz w:val="28"/>
      <w:szCs w:val="28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</w:pPr>
    <w:rPr>
      <w:rFonts w:ascii="Arial" w:hAnsi="Arial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sz w:val="28"/>
      <w:szCs w:val="28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Terzi Angiola</dc:creator>
  <cp:lastModifiedBy>Terzi Angiola</cp:lastModifiedBy>
  <cp:revision>2</cp:revision>
  <dcterms:created xsi:type="dcterms:W3CDTF">2025-08-18T17:11:00Z</dcterms:created>
  <dcterms:modified xsi:type="dcterms:W3CDTF">2025-08-18T17:11:00Z</dcterms:modified>
</cp:coreProperties>
</file>