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5"/>
        <w:gridCol w:w="852"/>
        <w:gridCol w:w="7087"/>
      </w:tblGrid>
      <w:tr>
        <w:trPr>
          <w:trHeight w:val="83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VIAGGIO NELL'ARCHITETTURA MODERNA E CONTEMPORANEA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Walter Giliberto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23 settembre al 21 ottobre 2025 (5 incontri - € 20,00)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ARCHITETTURA 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ind w:right="169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L’architettura tra fine ‘900 e inizio millennio si è articolata con notevole accelerazione in pluralità di orientamenti e di espressioni in stretta relazione con i caratteri della cultura “liquida” del secolo breve: i saperi e i poteri rigidi si sono sciolti, tra forme evaporate, ricerche di nuova sostenibilità e rivisitazione degli elementi fondanti la modernità. Gli incontri verteranno sulla presentazione delle tendenze dell’architettura di fine ‘900 e delle più nuove e innovative di questo inizio millennio.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8"/>
        <w:gridCol w:w="7488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23.09.2025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Renzo Piano e l'architettura tecnica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30.09.2025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Gaudì e la magia catalana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07.10.2025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Architettura minimalista: Less is More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14.10.2025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La nuova scuola del nord Europa: Big, Mecanoo e altri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21.10.2025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sz w:val="24"/>
              </w:rPr>
              <w:t>Architettura parametrica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d8122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1</Pages>
  <Words>160</Words>
  <Characters>914</Characters>
  <CharactersWithSpaces>1113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2025-05-14T20:33:00Z</dcterms:created>
  <dc:creator>Carmen Quadri</dc:creator>
  <dc:description/>
  <dc:language>it-IT</dc:language>
  <cp:lastModifiedBy/>
  <dcterms:modified xsi:type="dcterms:W3CDTF">2025-07-14T10:33:37Z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