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BF4E" w14:textId="77777777" w:rsidR="00AA2F7A" w:rsidRDefault="00AA2F7A" w:rsidP="00AA2F7A">
      <w:r>
        <w:rPr>
          <w:noProof/>
        </w:rPr>
        <w:drawing>
          <wp:anchor distT="0" distB="0" distL="114300" distR="114300" simplePos="0" relativeHeight="2" behindDoc="0" locked="0" layoutInCell="0" allowOverlap="1" wp14:anchorId="70F90029" wp14:editId="1B881C08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 w:rsidRPr="007647B0">
        <w:rPr>
          <w:b/>
          <w:bCs/>
          <w:sz w:val="40"/>
          <w:szCs w:val="40"/>
        </w:rPr>
        <w:t>TERZA UNIVERSITÀ - 2025/26</w:t>
      </w:r>
    </w:p>
    <w:p w14:paraId="4A94A6E8" w14:textId="1BDED833" w:rsidR="007A0F3A" w:rsidRPr="00AA2F7A" w:rsidRDefault="007A0F3A">
      <w:pPr>
        <w:pStyle w:val="Intestazione"/>
        <w:spacing w:after="40"/>
        <w:rPr>
          <w:b/>
          <w:bCs/>
          <w:sz w:val="32"/>
          <w:szCs w:val="32"/>
        </w:rPr>
      </w:pPr>
    </w:p>
    <w:p w14:paraId="43D3F650" w14:textId="77777777" w:rsidR="007A0F3A" w:rsidRDefault="00AA2F7A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359D2159" w14:textId="77777777" w:rsidR="007A0F3A" w:rsidRDefault="007A0F3A">
      <w:pPr>
        <w:rPr>
          <w:sz w:val="20"/>
          <w:szCs w:val="20"/>
        </w:rPr>
      </w:pPr>
    </w:p>
    <w:p w14:paraId="68151557" w14:textId="77777777" w:rsidR="007A0F3A" w:rsidRDefault="00AA2F7A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PONTERANICA</w:t>
      </w:r>
    </w:p>
    <w:p w14:paraId="0BE0ABC9" w14:textId="77777777" w:rsidR="007A0F3A" w:rsidRDefault="00AA2F7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 xml:space="preserve">Referente: </w:t>
      </w:r>
      <w:r>
        <w:rPr>
          <w:rFonts w:eastAsia="Arial" w:cs="Arial"/>
          <w:sz w:val="20"/>
          <w:szCs w:val="20"/>
        </w:rPr>
        <w:t>Angiola Terzi</w:t>
      </w:r>
    </w:p>
    <w:p w14:paraId="452AF731" w14:textId="77777777" w:rsidR="007A0F3A" w:rsidRDefault="00AA2F7A">
      <w:pPr>
        <w:shd w:val="clear" w:color="auto" w:fill="FFFFFF"/>
        <w:tabs>
          <w:tab w:val="left" w:pos="708"/>
        </w:tabs>
        <w:ind w:right="-7"/>
        <w:jc w:val="both"/>
      </w:pPr>
      <w:r>
        <w:rPr>
          <w:rStyle w:val="Collegamentoipertestuale"/>
          <w:rFonts w:eastAsia="Arial" w:cs="Arial"/>
          <w:b/>
          <w:color w:val="000000"/>
          <w:sz w:val="20"/>
          <w:szCs w:val="20"/>
          <w:u w:val="none"/>
        </w:rPr>
        <w:t>Iscrizioni e informazioni:</w:t>
      </w:r>
      <w:r>
        <w:rPr>
          <w:rStyle w:val="Collegamentoipertestuale"/>
          <w:rFonts w:eastAsia="Arial" w:cs="Arial"/>
          <w:color w:val="000000"/>
          <w:sz w:val="20"/>
          <w:szCs w:val="20"/>
          <w:u w:val="none"/>
        </w:rPr>
        <w:t xml:space="preserve"> presso Auser Ponteranica, Via Valbona, 55, il 16 ottobre 2025 e il 27 gennaio 2026, ore 14.30-17; presso sede </w:t>
      </w:r>
      <w:r>
        <w:rPr>
          <w:rStyle w:val="Collegamentoipertestuale"/>
          <w:rFonts w:eastAsia="Arial" w:cs="Arial"/>
          <w:b/>
          <w:i/>
          <w:color w:val="000000"/>
          <w:sz w:val="20"/>
          <w:szCs w:val="20"/>
          <w:u w:val="none"/>
        </w:rPr>
        <w:t>Tu</w:t>
      </w:r>
      <w:r>
        <w:rPr>
          <w:rStyle w:val="Collegamentoipertestuale"/>
          <w:rFonts w:eastAsia="Arial" w:cs="Arial"/>
          <w:color w:val="000000"/>
          <w:sz w:val="20"/>
          <w:szCs w:val="20"/>
          <w:u w:val="none"/>
        </w:rPr>
        <w:t xml:space="preserve"> di Bergamo e on line www.terzauniversita.it</w:t>
      </w:r>
    </w:p>
    <w:p w14:paraId="1C59DCFB" w14:textId="77777777" w:rsidR="007A0F3A" w:rsidRDefault="007A0F3A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1"/>
        <w:gridCol w:w="886"/>
        <w:gridCol w:w="7057"/>
      </w:tblGrid>
      <w:tr w:rsidR="007A0F3A" w14:paraId="5124A878" w14:textId="77777777">
        <w:trPr>
          <w:trHeight w:val="83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F5C48" w14:textId="00D9DCF2" w:rsidR="007A0F3A" w:rsidRDefault="00AA2F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Modulo </w:t>
            </w:r>
            <w:r>
              <w:rPr>
                <w:szCs w:val="28"/>
              </w:rPr>
              <w:t>n°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03FA7E" w14:textId="77777777" w:rsidR="007A0F3A" w:rsidRDefault="00AA2F7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152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806D" w14:textId="77777777" w:rsidR="007A0F3A" w:rsidRDefault="00AA2F7A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bookmarkStart w:id="0" w:name="_Hlk198581297"/>
            <w:r>
              <w:rPr>
                <w:rFonts w:eastAsia="Arial" w:cs="Arial"/>
                <w:b/>
                <w:i/>
                <w:iCs/>
                <w:szCs w:val="28"/>
              </w:rPr>
              <w:t>ALLE ORIGINI DELL’ARTE OCCIDENTALE</w:t>
            </w:r>
            <w:bookmarkEnd w:id="0"/>
          </w:p>
        </w:tc>
      </w:tr>
    </w:tbl>
    <w:p w14:paraId="065FD964" w14:textId="77777777" w:rsidR="007A0F3A" w:rsidRDefault="007A0F3A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6"/>
        <w:gridCol w:w="7912"/>
      </w:tblGrid>
      <w:tr w:rsidR="007A0F3A" w14:paraId="5F6F5BD1" w14:textId="77777777">
        <w:trPr>
          <w:trHeight w:val="340"/>
        </w:trPr>
        <w:tc>
          <w:tcPr>
            <w:tcW w:w="1726" w:type="dxa"/>
            <w:vAlign w:val="center"/>
          </w:tcPr>
          <w:p w14:paraId="262383FB" w14:textId="77777777" w:rsidR="007A0F3A" w:rsidRDefault="00AA2F7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7911" w:type="dxa"/>
            <w:vAlign w:val="center"/>
          </w:tcPr>
          <w:p w14:paraId="3B8B05EE" w14:textId="77777777" w:rsidR="007A0F3A" w:rsidRDefault="00AA2F7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Rosa Chiumeo</w:t>
            </w:r>
          </w:p>
        </w:tc>
      </w:tr>
      <w:tr w:rsidR="007A0F3A" w14:paraId="37644FBF" w14:textId="77777777">
        <w:trPr>
          <w:trHeight w:val="340"/>
        </w:trPr>
        <w:tc>
          <w:tcPr>
            <w:tcW w:w="1726" w:type="dxa"/>
            <w:vAlign w:val="center"/>
          </w:tcPr>
          <w:p w14:paraId="4E225165" w14:textId="77777777" w:rsidR="007A0F3A" w:rsidRDefault="00AA2F7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Giorno</w:t>
            </w:r>
          </w:p>
        </w:tc>
        <w:tc>
          <w:tcPr>
            <w:tcW w:w="7911" w:type="dxa"/>
            <w:vAlign w:val="center"/>
          </w:tcPr>
          <w:p w14:paraId="15995BD2" w14:textId="77777777" w:rsidR="007A0F3A" w:rsidRDefault="00AA2F7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7A0F3A" w14:paraId="740F3A33" w14:textId="77777777">
        <w:trPr>
          <w:trHeight w:val="340"/>
        </w:trPr>
        <w:tc>
          <w:tcPr>
            <w:tcW w:w="1726" w:type="dxa"/>
            <w:vAlign w:val="center"/>
          </w:tcPr>
          <w:p w14:paraId="1E541EAB" w14:textId="77777777" w:rsidR="007A0F3A" w:rsidRDefault="00AA2F7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7911" w:type="dxa"/>
            <w:vAlign w:val="center"/>
          </w:tcPr>
          <w:p w14:paraId="1C293627" w14:textId="77777777" w:rsidR="007A0F3A" w:rsidRDefault="00AA2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15.00 - 17.15</w:t>
            </w:r>
          </w:p>
        </w:tc>
      </w:tr>
      <w:tr w:rsidR="007A0F3A" w14:paraId="5AE51081" w14:textId="77777777">
        <w:trPr>
          <w:trHeight w:val="340"/>
        </w:trPr>
        <w:tc>
          <w:tcPr>
            <w:tcW w:w="1726" w:type="dxa"/>
            <w:vAlign w:val="center"/>
          </w:tcPr>
          <w:p w14:paraId="0738B409" w14:textId="77777777" w:rsidR="007A0F3A" w:rsidRDefault="00AA2F7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7911" w:type="dxa"/>
            <w:vAlign w:val="center"/>
          </w:tcPr>
          <w:p w14:paraId="255F7A57" w14:textId="77777777" w:rsidR="007A0F3A" w:rsidRDefault="00AA2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5 febbraio al 5 marzo 2026 (5 incontri - € 20,00)</w:t>
            </w:r>
          </w:p>
        </w:tc>
      </w:tr>
      <w:tr w:rsidR="007A0F3A" w14:paraId="3967E2DD" w14:textId="77777777">
        <w:trPr>
          <w:trHeight w:val="340"/>
        </w:trPr>
        <w:tc>
          <w:tcPr>
            <w:tcW w:w="1726" w:type="dxa"/>
            <w:vAlign w:val="center"/>
          </w:tcPr>
          <w:p w14:paraId="20B707D9" w14:textId="77777777" w:rsidR="007A0F3A" w:rsidRDefault="00AA2F7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7911" w:type="dxa"/>
            <w:vAlign w:val="center"/>
          </w:tcPr>
          <w:p w14:paraId="28B4C149" w14:textId="77777777" w:rsidR="007A0F3A" w:rsidRDefault="00AA2F7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Saletta BOPO</w:t>
            </w:r>
            <w:r>
              <w:rPr>
                <w:rFonts w:eastAsia="Arial" w:cs="Arial"/>
                <w:b/>
                <w:sz w:val="22"/>
                <w:szCs w:val="22"/>
              </w:rPr>
              <w:t xml:space="preserve">, </w:t>
            </w:r>
            <w:r>
              <w:rPr>
                <w:rFonts w:eastAsia="Arial" w:cs="Arial"/>
                <w:sz w:val="22"/>
                <w:szCs w:val="22"/>
              </w:rPr>
              <w:t>via Concordia</w:t>
            </w:r>
          </w:p>
        </w:tc>
      </w:tr>
      <w:tr w:rsidR="007A0F3A" w14:paraId="5CE5D43B" w14:textId="77777777">
        <w:trPr>
          <w:trHeight w:val="312"/>
        </w:trPr>
        <w:tc>
          <w:tcPr>
            <w:tcW w:w="1726" w:type="dxa"/>
            <w:vAlign w:val="center"/>
          </w:tcPr>
          <w:p w14:paraId="61770DDA" w14:textId="77777777" w:rsidR="007A0F3A" w:rsidRDefault="00AA2F7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Argomento</w:t>
            </w:r>
          </w:p>
        </w:tc>
        <w:tc>
          <w:tcPr>
            <w:tcW w:w="7911" w:type="dxa"/>
            <w:vAlign w:val="center"/>
          </w:tcPr>
          <w:p w14:paraId="2F5B4EAB" w14:textId="77777777" w:rsidR="007A0F3A" w:rsidRDefault="00AA2F7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7A0F3A" w14:paraId="5CE2571C" w14:textId="77777777">
        <w:trPr>
          <w:trHeight w:val="1192"/>
        </w:trPr>
        <w:tc>
          <w:tcPr>
            <w:tcW w:w="1726" w:type="dxa"/>
            <w:vAlign w:val="center"/>
          </w:tcPr>
          <w:p w14:paraId="780BBAAA" w14:textId="77777777" w:rsidR="007A0F3A" w:rsidRDefault="00AA2F7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Presentazione</w:t>
            </w:r>
          </w:p>
        </w:tc>
        <w:tc>
          <w:tcPr>
            <w:tcW w:w="7911" w:type="dxa"/>
            <w:vAlign w:val="center"/>
          </w:tcPr>
          <w:p w14:paraId="750506CA" w14:textId="77777777" w:rsidR="007A0F3A" w:rsidRDefault="00AA2F7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highlight w:val="white"/>
              </w:rPr>
              <w:t>Nell’arte e nell’architettura greca troviamo i fondamenti degli ideali estetici ed etici, la naturalezza e l’ordine geometrico, che dall’epoca romana, al Rinascimento, al Neoclassicismo, hanno costituito il modello europeo più alto della cultura e della bellezza.</w:t>
            </w:r>
          </w:p>
        </w:tc>
      </w:tr>
      <w:tr w:rsidR="007A0F3A" w14:paraId="66880A84" w14:textId="77777777">
        <w:trPr>
          <w:trHeight w:val="340"/>
        </w:trPr>
        <w:tc>
          <w:tcPr>
            <w:tcW w:w="1726" w:type="dxa"/>
          </w:tcPr>
          <w:p w14:paraId="7234C461" w14:textId="77777777" w:rsidR="007A0F3A" w:rsidRDefault="007A0F3A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1" w:type="dxa"/>
          </w:tcPr>
          <w:p w14:paraId="6D5EBD10" w14:textId="77777777" w:rsidR="007A0F3A" w:rsidRDefault="007A0F3A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C0865F7" w14:textId="77777777" w:rsidR="007A0F3A" w:rsidRDefault="007A0F3A">
      <w:pPr>
        <w:rPr>
          <w:bCs/>
          <w:sz w:val="24"/>
        </w:rPr>
      </w:pPr>
    </w:p>
    <w:p w14:paraId="393C5972" w14:textId="77777777" w:rsidR="007A0F3A" w:rsidRDefault="00AA2F7A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5B404467" w14:textId="77777777" w:rsidR="007A0F3A" w:rsidRDefault="007A0F3A">
      <w:pPr>
        <w:rPr>
          <w:b/>
          <w:sz w:val="24"/>
        </w:rPr>
      </w:pPr>
    </w:p>
    <w:tbl>
      <w:tblPr>
        <w:tblpPr w:leftFromText="141" w:rightFromText="141" w:vertAnchor="text" w:horzAnchor="margin" w:tblpX="-214" w:tblpY="170"/>
        <w:tblW w:w="97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637"/>
        <w:gridCol w:w="7489"/>
      </w:tblGrid>
      <w:tr w:rsidR="007A0F3A" w14:paraId="4923DDA7" w14:textId="77777777" w:rsidTr="00617BE8">
        <w:trPr>
          <w:trHeight w:val="56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D0307" w14:textId="77777777" w:rsidR="007A0F3A" w:rsidRDefault="00AA2F7A" w:rsidP="00617BE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F4B0" w14:textId="77777777" w:rsidR="007A0F3A" w:rsidRDefault="00AA2F7A" w:rsidP="00617BE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A557" w14:textId="1F2FACDB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Nonostante la volontà demolitoria dell’arte d’avanguardia.</w:t>
            </w:r>
            <w:r>
              <w:rPr>
                <w:sz w:val="22"/>
                <w:szCs w:val="22"/>
              </w:rPr>
              <w:t xml:space="preserve"> </w:t>
            </w:r>
            <w:r w:rsidRPr="00617BE8">
              <w:rPr>
                <w:sz w:val="22"/>
                <w:szCs w:val="22"/>
              </w:rPr>
              <w:t>(Picasso, Dali, anche Van Gogh)</w:t>
            </w:r>
            <w:r>
              <w:rPr>
                <w:sz w:val="22"/>
                <w:szCs w:val="22"/>
              </w:rPr>
              <w:t xml:space="preserve">. </w:t>
            </w:r>
            <w:r w:rsidRPr="00617BE8">
              <w:rPr>
                <w:sz w:val="22"/>
                <w:szCs w:val="22"/>
              </w:rPr>
              <w:t>Nonostante la perdita dell’insegnamento accademico.</w:t>
            </w:r>
          </w:p>
          <w:p w14:paraId="6679C887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Ma, bisognerà aggiungere, nonostante la sistematica distruzione dei cristiani, dei barbari.</w:t>
            </w:r>
          </w:p>
          <w:p w14:paraId="690EDFA6" w14:textId="09FFDBC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D’altra parte la nostra rappresentazione dell’arte antica è passata attraverso diverse fasi interpretative</w:t>
            </w:r>
            <w:r>
              <w:rPr>
                <w:sz w:val="22"/>
                <w:szCs w:val="22"/>
              </w:rPr>
              <w:t xml:space="preserve"> </w:t>
            </w:r>
            <w:r w:rsidRPr="00617BE8">
              <w:rPr>
                <w:sz w:val="22"/>
                <w:szCs w:val="22"/>
              </w:rPr>
              <w:t>al punto tale da farci dubitare del fatto che forse noi amiamo una costruzione mentale ideale (Canova lo aveva sospettato) trasformata e sedimentata nei secoli.     La classificazione del Winckelmann. La distinzione tra</w:t>
            </w:r>
            <w:r>
              <w:rPr>
                <w:sz w:val="22"/>
                <w:szCs w:val="22"/>
              </w:rPr>
              <w:t xml:space="preserve"> </w:t>
            </w:r>
            <w:r w:rsidRPr="00617BE8">
              <w:rPr>
                <w:sz w:val="22"/>
                <w:szCs w:val="22"/>
              </w:rPr>
              <w:t>originali greci</w:t>
            </w:r>
            <w:r>
              <w:rPr>
                <w:sz w:val="22"/>
                <w:szCs w:val="22"/>
              </w:rPr>
              <w:t xml:space="preserve"> </w:t>
            </w:r>
            <w:r w:rsidRPr="00617BE8">
              <w:rPr>
                <w:sz w:val="22"/>
                <w:szCs w:val="22"/>
              </w:rPr>
              <w:t>e copie romane</w:t>
            </w:r>
            <w:r>
              <w:rPr>
                <w:sz w:val="22"/>
                <w:szCs w:val="22"/>
              </w:rPr>
              <w:t xml:space="preserve">                     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r w:rsidRPr="00617BE8">
              <w:rPr>
                <w:sz w:val="22"/>
                <w:szCs w:val="22"/>
              </w:rPr>
              <w:t>”</w:t>
            </w:r>
            <w:proofErr w:type="gramEnd"/>
            <w:r w:rsidRPr="00617BE8">
              <w:rPr>
                <w:sz w:val="22"/>
                <w:szCs w:val="22"/>
              </w:rPr>
              <w:t xml:space="preserve"> noi</w:t>
            </w:r>
            <w:r w:rsidRPr="00617BE8">
              <w:rPr>
                <w:sz w:val="22"/>
                <w:szCs w:val="22"/>
              </w:rPr>
              <w:t xml:space="preserve"> rivoltiamo ogni pietra”</w:t>
            </w:r>
          </w:p>
          <w:p w14:paraId="7AA6BFC3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La scansione nei periodi ad un tempo storici e stilistici. Noi conosciamo l’antico attraverso il filtro neoclassico: il colore, la compostezza, i bianchi marmi</w:t>
            </w:r>
          </w:p>
          <w:p w14:paraId="27ECF947" w14:textId="58F0D5AA" w:rsidR="007A0F3A" w:rsidRDefault="00617BE8" w:rsidP="00AA2F7A">
            <w:pPr>
              <w:jc w:val="both"/>
              <w:rPr>
                <w:rFonts w:cs="Arial"/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 xml:space="preserve">L’arte dorica. </w:t>
            </w:r>
            <w:proofErr w:type="spellStart"/>
            <w:r w:rsidRPr="00617BE8">
              <w:rPr>
                <w:sz w:val="22"/>
                <w:szCs w:val="22"/>
              </w:rPr>
              <w:t>Kuroi</w:t>
            </w:r>
            <w:proofErr w:type="spellEnd"/>
            <w:r w:rsidRPr="00617BE8">
              <w:rPr>
                <w:sz w:val="22"/>
                <w:szCs w:val="22"/>
              </w:rPr>
              <w:t xml:space="preserve"> e Korai. </w:t>
            </w:r>
          </w:p>
        </w:tc>
      </w:tr>
      <w:tr w:rsidR="007A0F3A" w14:paraId="62A3E381" w14:textId="77777777" w:rsidTr="00617BE8">
        <w:trPr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B26BB" w14:textId="77777777" w:rsidR="007A0F3A" w:rsidRDefault="00AA2F7A" w:rsidP="00617BE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6AF" w14:textId="77777777" w:rsidR="007A0F3A" w:rsidRDefault="00AA2F7A" w:rsidP="00617BE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C39C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La questione del colore, anche Canova colorava</w:t>
            </w:r>
          </w:p>
          <w:p w14:paraId="56A40FC9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 xml:space="preserve">Quanto è romantico il fascino del rudere. Potenza </w:t>
            </w:r>
            <w:proofErr w:type="spellStart"/>
            <w:r w:rsidRPr="00617BE8">
              <w:rPr>
                <w:sz w:val="22"/>
                <w:szCs w:val="22"/>
              </w:rPr>
              <w:t>evocatica</w:t>
            </w:r>
            <w:proofErr w:type="spellEnd"/>
            <w:r w:rsidRPr="00617BE8">
              <w:rPr>
                <w:sz w:val="22"/>
                <w:szCs w:val="22"/>
              </w:rPr>
              <w:t xml:space="preserve"> del frammento. </w:t>
            </w:r>
            <w:proofErr w:type="spellStart"/>
            <w:r w:rsidRPr="00617BE8">
              <w:rPr>
                <w:sz w:val="22"/>
                <w:szCs w:val="22"/>
              </w:rPr>
              <w:t>Yourcenair</w:t>
            </w:r>
            <w:proofErr w:type="spellEnd"/>
            <w:r w:rsidRPr="00617BE8">
              <w:rPr>
                <w:sz w:val="22"/>
                <w:szCs w:val="22"/>
              </w:rPr>
              <w:t>.</w:t>
            </w:r>
          </w:p>
          <w:p w14:paraId="6EFE833C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Anastilosi o no.</w:t>
            </w:r>
          </w:p>
          <w:p w14:paraId="34FD803F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 xml:space="preserve">Questioni di restauro. Canova e </w:t>
            </w:r>
            <w:proofErr w:type="spellStart"/>
            <w:r w:rsidRPr="00617BE8">
              <w:rPr>
                <w:sz w:val="22"/>
                <w:szCs w:val="22"/>
              </w:rPr>
              <w:t>MengsL’arte</w:t>
            </w:r>
            <w:proofErr w:type="spellEnd"/>
            <w:r w:rsidRPr="00617BE8">
              <w:rPr>
                <w:sz w:val="22"/>
                <w:szCs w:val="22"/>
              </w:rPr>
              <w:t xml:space="preserve"> ionica. </w:t>
            </w:r>
            <w:proofErr w:type="spellStart"/>
            <w:r w:rsidRPr="00617BE8">
              <w:rPr>
                <w:sz w:val="22"/>
                <w:szCs w:val="22"/>
              </w:rPr>
              <w:t>Kuroi</w:t>
            </w:r>
            <w:proofErr w:type="spellEnd"/>
            <w:r w:rsidRPr="00617BE8">
              <w:rPr>
                <w:sz w:val="22"/>
                <w:szCs w:val="22"/>
              </w:rPr>
              <w:t xml:space="preserve"> e korai. Le forme del tempio</w:t>
            </w:r>
          </w:p>
          <w:p w14:paraId="7C2DB6A4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 xml:space="preserve"> Morbidezza delle forme e andamento sinuoso. Piccolo e femminile anche in architettura.</w:t>
            </w:r>
          </w:p>
          <w:p w14:paraId="00C4B5E8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Influenza delle culture orientali</w:t>
            </w:r>
          </w:p>
          <w:p w14:paraId="509AE2F1" w14:textId="77777777" w:rsidR="007A0F3A" w:rsidRDefault="00617BE8" w:rsidP="00AA2F7A">
            <w:pPr>
              <w:jc w:val="both"/>
              <w:rPr>
                <w:i/>
                <w:iCs/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Alle radici della cultura greca i dualismi come</w:t>
            </w:r>
            <w:r w:rsidRPr="00617BE8">
              <w:rPr>
                <w:i/>
                <w:iCs/>
                <w:sz w:val="22"/>
                <w:szCs w:val="22"/>
              </w:rPr>
              <w:t xml:space="preserve"> dorico/ionico, apollineo e dionisiaco (</w:t>
            </w:r>
            <w:proofErr w:type="spellStart"/>
            <w:r w:rsidRPr="00617BE8">
              <w:rPr>
                <w:i/>
                <w:iCs/>
                <w:sz w:val="22"/>
                <w:szCs w:val="22"/>
              </w:rPr>
              <w:t>Nietsche</w:t>
            </w:r>
            <w:proofErr w:type="spellEnd"/>
            <w:r w:rsidRPr="00617BE8">
              <w:rPr>
                <w:i/>
                <w:iCs/>
                <w:sz w:val="22"/>
                <w:szCs w:val="22"/>
              </w:rPr>
              <w:t>), Eraclito e Parmenide.</w:t>
            </w:r>
          </w:p>
          <w:p w14:paraId="517DD010" w14:textId="1A7A17D4" w:rsidR="00AA2F7A" w:rsidRPr="00617BE8" w:rsidRDefault="00AA2F7A" w:rsidP="00AA2F7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A0F3A" w14:paraId="5D7BF7D2" w14:textId="77777777" w:rsidTr="00617BE8">
        <w:trPr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BC912" w14:textId="77777777" w:rsidR="007A0F3A" w:rsidRDefault="00AA2F7A" w:rsidP="00617BE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7F06" w14:textId="77777777" w:rsidR="007A0F3A" w:rsidRDefault="00AA2F7A" w:rsidP="00617BE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7BC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Dallo stile severo all’arte classica. Il corpo umano e la proporzione aurea.  Significato di classico.</w:t>
            </w:r>
          </w:p>
          <w:p w14:paraId="3AEEA72D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Il nudo come valore democratico (Hauser)</w:t>
            </w:r>
          </w:p>
          <w:p w14:paraId="709045CE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 xml:space="preserve">Olympia. Leni </w:t>
            </w:r>
            <w:proofErr w:type="spellStart"/>
            <w:r w:rsidRPr="00617BE8">
              <w:rPr>
                <w:sz w:val="22"/>
                <w:szCs w:val="22"/>
              </w:rPr>
              <w:t>Riefenstal</w:t>
            </w:r>
            <w:proofErr w:type="spellEnd"/>
          </w:p>
          <w:p w14:paraId="171DFE9B" w14:textId="77777777" w:rsidR="00617BE8" w:rsidRDefault="00617BE8" w:rsidP="00617BE8">
            <w:pPr>
              <w:jc w:val="both"/>
              <w:rPr>
                <w:i/>
                <w:iCs/>
                <w:sz w:val="22"/>
                <w:szCs w:val="22"/>
              </w:rPr>
            </w:pPr>
            <w:r w:rsidRPr="00617BE8">
              <w:rPr>
                <w:i/>
                <w:iCs/>
                <w:sz w:val="22"/>
                <w:szCs w:val="22"/>
              </w:rPr>
              <w:t xml:space="preserve"> La bellezza del corpo e dello spirito. Kalos </w:t>
            </w:r>
            <w:proofErr w:type="spellStart"/>
            <w:r w:rsidRPr="00617BE8">
              <w:rPr>
                <w:i/>
                <w:iCs/>
                <w:sz w:val="22"/>
                <w:szCs w:val="22"/>
              </w:rPr>
              <w:t>kai</w:t>
            </w:r>
            <w:proofErr w:type="spellEnd"/>
            <w:r w:rsidRPr="00617BE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7BE8">
              <w:rPr>
                <w:i/>
                <w:iCs/>
                <w:sz w:val="22"/>
                <w:szCs w:val="22"/>
              </w:rPr>
              <w:t>agazos</w:t>
            </w:r>
            <w:proofErr w:type="spellEnd"/>
            <w:r w:rsidRPr="00617BE8">
              <w:rPr>
                <w:i/>
                <w:iCs/>
                <w:sz w:val="22"/>
                <w:szCs w:val="22"/>
              </w:rPr>
              <w:t>. La descrizione della statua di Apollo da parte del Winckelmann.  Il furto di Lord Elgin.</w:t>
            </w:r>
          </w:p>
          <w:p w14:paraId="223EC799" w14:textId="17925DD7" w:rsidR="007A0F3A" w:rsidRDefault="00617BE8" w:rsidP="00AA2F7A">
            <w:pPr>
              <w:jc w:val="both"/>
              <w:rPr>
                <w:rFonts w:cs="Arial"/>
                <w:sz w:val="22"/>
                <w:szCs w:val="22"/>
              </w:rPr>
            </w:pPr>
            <w:r w:rsidRPr="00617BE8">
              <w:rPr>
                <w:i/>
                <w:iCs/>
                <w:sz w:val="22"/>
                <w:szCs w:val="22"/>
              </w:rPr>
              <w:t xml:space="preserve"> Altre storie di colonialismo </w:t>
            </w:r>
            <w:proofErr w:type="spellStart"/>
            <w:proofErr w:type="gramStart"/>
            <w:r w:rsidRPr="00617BE8">
              <w:rPr>
                <w:i/>
                <w:iCs/>
                <w:sz w:val="22"/>
                <w:szCs w:val="22"/>
              </w:rPr>
              <w:t>archeologico:l’altare</w:t>
            </w:r>
            <w:proofErr w:type="spellEnd"/>
            <w:proofErr w:type="gramEnd"/>
            <w:r w:rsidRPr="00617BE8">
              <w:rPr>
                <w:i/>
                <w:iCs/>
                <w:sz w:val="22"/>
                <w:szCs w:val="22"/>
              </w:rPr>
              <w:t xml:space="preserve"> di Pergamo. Possedere le opere antiche significa esserne gli eredi. Un ideale aristocratico e la democrazia ateniese. “L’esercizio della ragione è un mano alzata davanti al fato.”  I santuari. Delfi. Storia di </w:t>
            </w:r>
            <w:r w:rsidRPr="00617BE8">
              <w:rPr>
                <w:i/>
                <w:iCs/>
                <w:sz w:val="22"/>
                <w:szCs w:val="22"/>
              </w:rPr>
              <w:t xml:space="preserve">Edipo </w:t>
            </w:r>
            <w:r w:rsidRPr="00617BE8">
              <w:rPr>
                <w:sz w:val="22"/>
                <w:szCs w:val="22"/>
              </w:rPr>
              <w:t>Saffo</w:t>
            </w:r>
            <w:r w:rsidRPr="00617BE8">
              <w:rPr>
                <w:sz w:val="22"/>
                <w:szCs w:val="22"/>
              </w:rPr>
              <w:t>.</w:t>
            </w:r>
            <w:r w:rsidRPr="00617BE8">
              <w:rPr>
                <w:i/>
                <w:iCs/>
                <w:sz w:val="22"/>
                <w:szCs w:val="22"/>
              </w:rPr>
              <w:t xml:space="preserve"> A me sembra simile ad un dio…</w:t>
            </w:r>
          </w:p>
        </w:tc>
      </w:tr>
      <w:tr w:rsidR="007A0F3A" w14:paraId="5083E49E" w14:textId="77777777" w:rsidTr="00617BE8">
        <w:trPr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F18D0" w14:textId="77777777" w:rsidR="007A0F3A" w:rsidRDefault="00AA2F7A" w:rsidP="00617BE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E87C" w14:textId="7677C074" w:rsidR="007A0F3A" w:rsidRDefault="00AA2F7A" w:rsidP="0061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</w:t>
            </w:r>
            <w:r w:rsidR="00617BE8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BFE1" w14:textId="6526BEFF" w:rsidR="00617BE8" w:rsidRPr="00617BE8" w:rsidRDefault="00617BE8" w:rsidP="00AA2F7A">
            <w:pPr>
              <w:rPr>
                <w:rFonts w:cs="Arial"/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La contaminazione della cultura greca con le civiltà orientali. Il sincretismo ellenistico. Santuari Didime, Artemide a Efeso, Asclepio a Epidauro e Pergamo. Valore di luoghi sacri nella durata storica</w:t>
            </w:r>
            <w:r>
              <w:rPr>
                <w:sz w:val="22"/>
                <w:szCs w:val="22"/>
              </w:rPr>
              <w:t xml:space="preserve"> </w:t>
            </w:r>
            <w:r w:rsidRPr="00617BE8">
              <w:rPr>
                <w:sz w:val="22"/>
                <w:szCs w:val="22"/>
              </w:rPr>
              <w:t>(Moschea di Damasco, ex tempio di Giove, ex chiesa bizantina) Il genius loci.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A0F3A" w14:paraId="2C2355EE" w14:textId="77777777" w:rsidTr="00617BE8">
        <w:trPr>
          <w:trHeight w:val="56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65EFB" w14:textId="77777777" w:rsidR="007A0F3A" w:rsidRDefault="00AA2F7A" w:rsidP="00617BE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BE5E" w14:textId="77777777" w:rsidR="007A0F3A" w:rsidRDefault="00AA2F7A" w:rsidP="00617BE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2B5C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 xml:space="preserve">Dopo Alessandro processo di sincretismo culturale e religioso. </w:t>
            </w:r>
          </w:p>
          <w:p w14:paraId="299A53DF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Sudditi e non cittadini. Ruolo dell’intellettuale. Epicuro, felicità attraverso l’atarassia.</w:t>
            </w:r>
          </w:p>
          <w:p w14:paraId="2090579F" w14:textId="77777777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 xml:space="preserve">Non più le </w:t>
            </w:r>
            <w:proofErr w:type="spellStart"/>
            <w:r w:rsidRPr="00617BE8">
              <w:rPr>
                <w:sz w:val="22"/>
                <w:szCs w:val="22"/>
              </w:rPr>
              <w:t>poleis</w:t>
            </w:r>
            <w:proofErr w:type="spellEnd"/>
            <w:r w:rsidRPr="00617BE8">
              <w:rPr>
                <w:sz w:val="22"/>
                <w:szCs w:val="22"/>
              </w:rPr>
              <w:t xml:space="preserve"> ma cosmopolitismo. Viene meno il concetto di barbaro. Le classi dirigenti si grecizzano: lingua, filosofia, teatro.</w:t>
            </w:r>
          </w:p>
          <w:p w14:paraId="5C7E3EC9" w14:textId="29D22796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 xml:space="preserve">Centri di cultura </w:t>
            </w:r>
            <w:proofErr w:type="spellStart"/>
            <w:r w:rsidRPr="00617BE8">
              <w:rPr>
                <w:sz w:val="22"/>
                <w:szCs w:val="22"/>
              </w:rPr>
              <w:t>ellestica</w:t>
            </w:r>
            <w:proofErr w:type="spellEnd"/>
            <w:r w:rsidRPr="00617BE8">
              <w:rPr>
                <w:sz w:val="22"/>
                <w:szCs w:val="22"/>
              </w:rPr>
              <w:t>. La koinè.  Città /</w:t>
            </w:r>
            <w:proofErr w:type="spellStart"/>
            <w:r w:rsidRPr="00617BE8">
              <w:rPr>
                <w:sz w:val="22"/>
                <w:szCs w:val="22"/>
              </w:rPr>
              <w:t>Apamea</w:t>
            </w:r>
            <w:proofErr w:type="spellEnd"/>
            <w:r w:rsidRPr="00617BE8">
              <w:rPr>
                <w:sz w:val="22"/>
                <w:szCs w:val="22"/>
              </w:rPr>
              <w:t xml:space="preserve">, </w:t>
            </w:r>
            <w:proofErr w:type="spellStart"/>
            <w:r w:rsidRPr="00617BE8">
              <w:rPr>
                <w:sz w:val="22"/>
                <w:szCs w:val="22"/>
              </w:rPr>
              <w:t>Priene</w:t>
            </w:r>
            <w:proofErr w:type="spellEnd"/>
            <w:r w:rsidRPr="00617BE8">
              <w:rPr>
                <w:sz w:val="22"/>
                <w:szCs w:val="22"/>
              </w:rPr>
              <w:t xml:space="preserve"> Efeso, </w:t>
            </w:r>
            <w:proofErr w:type="spellStart"/>
            <w:r w:rsidRPr="00617BE8">
              <w:rPr>
                <w:sz w:val="22"/>
                <w:szCs w:val="22"/>
              </w:rPr>
              <w:t>Perge</w:t>
            </w:r>
            <w:proofErr w:type="spellEnd"/>
            <w:r w:rsidRPr="00617BE8">
              <w:rPr>
                <w:sz w:val="22"/>
                <w:szCs w:val="22"/>
              </w:rPr>
              <w:t xml:space="preserve"> Alessandria</w:t>
            </w:r>
            <w:r>
              <w:rPr>
                <w:sz w:val="22"/>
                <w:szCs w:val="22"/>
              </w:rPr>
              <w:t xml:space="preserve"> </w:t>
            </w:r>
            <w:r w:rsidRPr="00617BE8">
              <w:rPr>
                <w:sz w:val="22"/>
                <w:szCs w:val="22"/>
              </w:rPr>
              <w:t xml:space="preserve">(Museo, biblioteca, osservatorio di </w:t>
            </w:r>
            <w:proofErr w:type="spellStart"/>
            <w:proofErr w:type="gramStart"/>
            <w:r w:rsidRPr="00617BE8">
              <w:rPr>
                <w:sz w:val="22"/>
                <w:szCs w:val="22"/>
              </w:rPr>
              <w:t>astronomia,orto</w:t>
            </w:r>
            <w:proofErr w:type="spellEnd"/>
            <w:proofErr w:type="gramEnd"/>
            <w:r w:rsidRPr="00617BE8">
              <w:rPr>
                <w:sz w:val="22"/>
                <w:szCs w:val="22"/>
              </w:rPr>
              <w:t xml:space="preserve"> botanico, sala di dissezione.) E ancora fontane, porticati coperti</w:t>
            </w:r>
          </w:p>
          <w:p w14:paraId="723B7E8E" w14:textId="3CCD767D" w:rsidR="00617BE8" w:rsidRPr="00617BE8" w:rsidRDefault="00617BE8" w:rsidP="00617BE8">
            <w:pPr>
              <w:jc w:val="both"/>
              <w:rPr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 xml:space="preserve"> L’eredità, l’impero bizantino.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17BE8">
              <w:rPr>
                <w:sz w:val="22"/>
                <w:szCs w:val="22"/>
              </w:rPr>
              <w:t>La</w:t>
            </w:r>
            <w:proofErr w:type="gramEnd"/>
            <w:r w:rsidRPr="00617BE8">
              <w:rPr>
                <w:sz w:val="22"/>
                <w:szCs w:val="22"/>
              </w:rPr>
              <w:t xml:space="preserve"> lingua greca, il platonismo</w:t>
            </w:r>
          </w:p>
          <w:p w14:paraId="4751E74D" w14:textId="2A41B6B2" w:rsidR="007A0F3A" w:rsidRDefault="00617BE8" w:rsidP="00AA2F7A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617BE8">
              <w:rPr>
                <w:sz w:val="22"/>
                <w:szCs w:val="22"/>
              </w:rPr>
              <w:t>La durata fino al 1453 caduta dell’impero di oriente. La Russia erede della lingua, della religione, del modello teocratico.  Giustiniano chiude l’Accademia di</w:t>
            </w:r>
            <w:r>
              <w:rPr>
                <w:sz w:val="22"/>
                <w:szCs w:val="22"/>
              </w:rPr>
              <w:t xml:space="preserve"> </w:t>
            </w:r>
            <w:r w:rsidRPr="00617BE8">
              <w:rPr>
                <w:sz w:val="22"/>
                <w:szCs w:val="22"/>
              </w:rPr>
              <w:t>Atene nel 1529. nel 1510 dipinge la scuola di Atene</w:t>
            </w:r>
          </w:p>
        </w:tc>
      </w:tr>
    </w:tbl>
    <w:p w14:paraId="62A466F2" w14:textId="77777777" w:rsidR="007A0F3A" w:rsidRDefault="007A0F3A">
      <w:pPr>
        <w:rPr>
          <w:rFonts w:ascii="Times New Roman" w:hAnsi="Times New Roman"/>
        </w:rPr>
      </w:pPr>
    </w:p>
    <w:p w14:paraId="580E49CC" w14:textId="77777777" w:rsidR="007A0F3A" w:rsidRDefault="007A0F3A">
      <w:pPr>
        <w:rPr>
          <w:b/>
          <w:sz w:val="24"/>
        </w:rPr>
      </w:pPr>
    </w:p>
    <w:p w14:paraId="373208ED" w14:textId="77777777" w:rsidR="007A0F3A" w:rsidRDefault="007A0F3A">
      <w:pPr>
        <w:rPr>
          <w:b/>
          <w:sz w:val="24"/>
        </w:rPr>
      </w:pPr>
    </w:p>
    <w:p w14:paraId="158D4291" w14:textId="77777777" w:rsidR="007A0F3A" w:rsidRDefault="007A0F3A">
      <w:pPr>
        <w:rPr>
          <w:sz w:val="22"/>
          <w:szCs w:val="22"/>
        </w:rPr>
      </w:pPr>
    </w:p>
    <w:p w14:paraId="673F7FAD" w14:textId="77777777" w:rsidR="007A0F3A" w:rsidRDefault="007A0F3A">
      <w:pPr>
        <w:rPr>
          <w:sz w:val="20"/>
          <w:szCs w:val="20"/>
        </w:rPr>
      </w:pPr>
    </w:p>
    <w:p w14:paraId="0A12093C" w14:textId="77777777" w:rsidR="007A0F3A" w:rsidRDefault="007A0F3A"/>
    <w:sectPr w:rsidR="007A0F3A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3A"/>
    <w:rsid w:val="00617BE8"/>
    <w:rsid w:val="007A0F3A"/>
    <w:rsid w:val="009C54C1"/>
    <w:rsid w:val="00AA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7BDE"/>
  <w15:docId w15:val="{C904C4A3-C8A4-435D-9E5A-005C2CC0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D272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D2725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2025-05-21T14:02:00Z</dcterms:created>
  <dcterms:modified xsi:type="dcterms:W3CDTF">2025-07-21T10:27:00Z</dcterms:modified>
  <dc:language>it-IT</dc:language>
</cp:coreProperties>
</file>