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40" y="0"/>
                <wp:lineTo x="-40" y="21127"/>
                <wp:lineTo x="21027" y="21127"/>
                <wp:lineTo x="21027" y="0"/>
                <wp:lineTo x="-40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PREMOLO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Ufficio Segreteria del Comune, tel. 035.701059 int. 3, dal 16 settembre 2025 fino a 7 giorni dalla data d'inizio di ciascun corso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0"/>
        <w:gridCol w:w="887"/>
        <w:gridCol w:w="7057"/>
      </w:tblGrid>
      <w:tr>
        <w:trPr>
          <w:trHeight w:val="830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155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center"/>
              <w:rPr>
                <w:rFonts w:eastAsia="Arial" w:cs="Arial"/>
                <w:b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LA DANZA DELLA VITA OVVERO</w:t>
            </w:r>
          </w:p>
          <w:p>
            <w:pPr>
              <w:pStyle w:val="Normal"/>
              <w:tabs>
                <w:tab w:val="left" w:pos="708" w:leader="none"/>
              </w:tabs>
              <w:ind w:right="-7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IL BENESSERE INTEGRATO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6"/>
        <w:gridCol w:w="7911"/>
      </w:tblGrid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Severina Allevi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12 febbraio al 5 marzo 2026 (4 incontri - € 14,00)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casa dei Premolesi, via Ranica 105, Premolo</w:t>
            </w:r>
          </w:p>
        </w:tc>
      </w:tr>
      <w:tr>
        <w:trPr>
          <w:trHeight w:val="312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>
        <w:trPr>
          <w:trHeight w:val="1192" w:hRule="atLeast"/>
        </w:trPr>
        <w:tc>
          <w:tcPr>
            <w:tcW w:w="1726" w:type="dxa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La Medicina tradizionale, pur essendo il fulcro della cura, può avvalersi di integrazioni che affianchino le terapie convenzionali con conoscenze e trattamenti complementari, per un “Benessere integrato”. Ogni evoluzione del corpo umano è un movimento sincronizzato, sofisticato, di miliardi di cellule, che eseguono “La danza della vita”, che ha un ritmo, una vibrazione, un palpito, un respiro: è la stessa danza che anima l’universo.</w:t>
            </w:r>
          </w:p>
        </w:tc>
      </w:tr>
      <w:tr>
        <w:trPr>
          <w:trHeight w:val="340" w:hRule="atLeast"/>
        </w:trPr>
        <w:tc>
          <w:tcPr>
            <w:tcW w:w="1726" w:type="dxa"/>
            <w:tcBorders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7911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>Medicina Olistica.                                                                                                  Cenni di Medicina Quantistica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>Agopuntura.                                                                                                         Ipnosi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 xml:space="preserve">Meditazione e Danza 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cs="Arial"/>
                <w:sz w:val="22"/>
              </w:rPr>
              <w:t xml:space="preserve">Pranoterapia, Riflessologia, Yoga, Chiropratica, Osteopatia, Massofisioterapia, Tai-Chi, Chinesiologia, Schatzu                                                                                                    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LibreOffice/24.2.3.2$Windows_X86_64 LibreOffice_project/433d9c2ded56988e8a90e6b2e771ee4e6a5ab2ba</Application>
  <AppVersion>15.0000</AppVersion>
  <Pages>1</Pages>
  <Words>172</Words>
  <Characters>1017</Characters>
  <CharactersWithSpaces>1529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2025-05-18T20:12:00Z</dcterms:created>
  <dc:creator>Carmen Quadri</dc:creator>
  <dc:description/>
  <dc:language>it-IT</dc:language>
  <cp:lastModifiedBy/>
  <dcterms:modified xsi:type="dcterms:W3CDTF">2025-07-17T16:54:11Z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