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61" w:rsidRDefault="00D632A0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5E6661" w:rsidRDefault="00D632A0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:rsidR="005E6661" w:rsidRDefault="005E6661">
      <w:pPr>
        <w:rPr>
          <w:sz w:val="20"/>
          <w:szCs w:val="20"/>
        </w:rPr>
      </w:pPr>
    </w:p>
    <w:p w:rsidR="005E6661" w:rsidRDefault="005E6661">
      <w:pPr>
        <w:rPr>
          <w:sz w:val="20"/>
          <w:szCs w:val="20"/>
        </w:rPr>
      </w:pPr>
    </w:p>
    <w:p w:rsidR="005E6661" w:rsidRDefault="005E6661">
      <w:pPr>
        <w:rPr>
          <w:sz w:val="20"/>
          <w:szCs w:val="20"/>
        </w:rPr>
      </w:pPr>
    </w:p>
    <w:p w:rsidR="005E6661" w:rsidRDefault="005E6661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5E6661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6661" w:rsidRDefault="00D632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6661" w:rsidRDefault="00D632A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61" w:rsidRDefault="00D632A0">
            <w:pPr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ORA E SEMPRE PROPAGANDA!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  <w:bookmarkStart w:id="0" w:name="bookmark=id.14jd4zum71wp"/>
            <w:bookmarkEnd w:id="0"/>
          </w:p>
        </w:tc>
      </w:tr>
    </w:tbl>
    <w:p w:rsidR="005E6661" w:rsidRDefault="005E6661">
      <w:pPr>
        <w:rPr>
          <w:sz w:val="22"/>
          <w:szCs w:val="22"/>
        </w:rPr>
      </w:pPr>
    </w:p>
    <w:p w:rsidR="005E6661" w:rsidRDefault="005E6661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5E6661">
        <w:trPr>
          <w:trHeight w:val="340"/>
        </w:trPr>
        <w:tc>
          <w:tcPr>
            <w:tcW w:w="1728" w:type="dxa"/>
            <w:vAlign w:val="center"/>
          </w:tcPr>
          <w:p w:rsidR="005E6661" w:rsidRDefault="00D632A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:rsidR="005E6661" w:rsidRDefault="00D632A0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Ettore Colombo </w:t>
            </w:r>
          </w:p>
        </w:tc>
      </w:tr>
      <w:tr w:rsidR="005E6661">
        <w:trPr>
          <w:trHeight w:val="340"/>
        </w:trPr>
        <w:tc>
          <w:tcPr>
            <w:tcW w:w="1728" w:type="dxa"/>
            <w:vAlign w:val="center"/>
          </w:tcPr>
          <w:p w:rsidR="005E6661" w:rsidRDefault="00D632A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5E6661" w:rsidRDefault="00D632A0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5E6661">
        <w:trPr>
          <w:trHeight w:val="340"/>
        </w:trPr>
        <w:tc>
          <w:tcPr>
            <w:tcW w:w="1728" w:type="dxa"/>
            <w:vAlign w:val="center"/>
          </w:tcPr>
          <w:p w:rsidR="005E6661" w:rsidRDefault="00D632A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5E6661" w:rsidRDefault="00D632A0" w:rsidP="00D63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</w:t>
            </w:r>
            <w:bookmarkStart w:id="1" w:name="_GoBack"/>
            <w:bookmarkEnd w:id="1"/>
            <w:r>
              <w:rPr>
                <w:sz w:val="22"/>
                <w:szCs w:val="22"/>
              </w:rPr>
              <w:t xml:space="preserve"> 17.15</w:t>
            </w:r>
          </w:p>
        </w:tc>
      </w:tr>
      <w:tr w:rsidR="005E6661">
        <w:trPr>
          <w:trHeight w:val="340"/>
        </w:trPr>
        <w:tc>
          <w:tcPr>
            <w:tcW w:w="1728" w:type="dxa"/>
            <w:vAlign w:val="center"/>
          </w:tcPr>
          <w:p w:rsidR="005E6661" w:rsidRDefault="00D632A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5E6661" w:rsidRDefault="00D63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29</w:t>
            </w:r>
            <w:r>
              <w:rPr>
                <w:rFonts w:eastAsia="Arial" w:cs="Arial"/>
                <w:sz w:val="22"/>
                <w:szCs w:val="22"/>
              </w:rPr>
              <w:t xml:space="preserve"> ottobre al 19 novembre 2025 (4 incontri - € 16,00)</w:t>
            </w:r>
          </w:p>
        </w:tc>
      </w:tr>
      <w:tr w:rsidR="005E6661">
        <w:trPr>
          <w:trHeight w:val="340"/>
        </w:trPr>
        <w:tc>
          <w:tcPr>
            <w:tcW w:w="1728" w:type="dxa"/>
            <w:vAlign w:val="center"/>
          </w:tcPr>
          <w:p w:rsidR="005E6661" w:rsidRDefault="00D632A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5E6661" w:rsidRDefault="00D632A0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5E6661">
        <w:trPr>
          <w:trHeight w:val="312"/>
        </w:trPr>
        <w:tc>
          <w:tcPr>
            <w:tcW w:w="1728" w:type="dxa"/>
            <w:vAlign w:val="center"/>
          </w:tcPr>
          <w:p w:rsidR="005E6661" w:rsidRDefault="00D632A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5E6661" w:rsidRDefault="00D632A0">
            <w:pPr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SCIENZE SOCIALI</w:t>
            </w:r>
          </w:p>
        </w:tc>
      </w:tr>
      <w:tr w:rsidR="005E6661">
        <w:trPr>
          <w:trHeight w:val="1192"/>
        </w:trPr>
        <w:tc>
          <w:tcPr>
            <w:tcW w:w="1728" w:type="dxa"/>
            <w:vAlign w:val="center"/>
          </w:tcPr>
          <w:p w:rsidR="005E6661" w:rsidRDefault="00D632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5E6661" w:rsidRDefault="00D632A0">
            <w:pPr>
              <w:pStyle w:val="Corpo"/>
              <w:jc w:val="both"/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 xml:space="preserve">La propaganda come arma di “distrazione” di massa, strumento potentissimo di manipolazione delle conoscenze, delle opinioni e dei </w:t>
            </w:r>
            <w:r>
              <w:rPr>
                <w:rFonts w:ascii="Arial" w:eastAsia="Arial" w:hAnsi="Arial" w:cs="Arial"/>
                <w:i/>
                <w:iCs/>
              </w:rPr>
              <w:t>comportamenti collettivi, finalizzata all’affermazione nel senso comune di una narrazione funzionale al potere, per il quale la “realtà effettuale della cosa” è del tutto secondaria se non dannosa. L’uso della propaganda è da sempre demandato a professioni</w:t>
            </w:r>
            <w:r>
              <w:rPr>
                <w:rFonts w:ascii="Arial" w:eastAsia="Arial" w:hAnsi="Arial" w:cs="Arial"/>
                <w:i/>
                <w:iCs/>
              </w:rPr>
              <w:t>sti della comunicazione e del marketing, sia che si tratti di regimi totalitari, sia che si tratti di democrazie più o meno avanzate. Questo percorso si propone di analizzare lo sviluppo storico di questa pratica plurisecolare nelle sue varie articolazioni</w:t>
            </w:r>
            <w:r>
              <w:rPr>
                <w:rFonts w:ascii="Arial" w:eastAsia="Arial" w:hAnsi="Arial" w:cs="Arial"/>
                <w:i/>
                <w:iCs/>
              </w:rPr>
              <w:t>, nelle sue costanti, nei suoi stereotipi, offrendo spunti critici capaci di vedere attraverso la nebbia dell’apparenza</w:t>
            </w:r>
          </w:p>
        </w:tc>
      </w:tr>
      <w:tr w:rsidR="005E6661">
        <w:trPr>
          <w:trHeight w:val="340"/>
        </w:trPr>
        <w:tc>
          <w:tcPr>
            <w:tcW w:w="1728" w:type="dxa"/>
          </w:tcPr>
          <w:p w:rsidR="005E6661" w:rsidRDefault="005E6661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:rsidR="005E6661" w:rsidRDefault="005E666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5E6661" w:rsidRDefault="005E6661">
      <w:pPr>
        <w:rPr>
          <w:b/>
          <w:sz w:val="24"/>
        </w:rPr>
      </w:pPr>
    </w:p>
    <w:p w:rsidR="005E6661" w:rsidRDefault="00D632A0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:rsidR="005E6661" w:rsidRDefault="005E666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D632A0">
        <w:trPr>
          <w:trHeight w:val="564"/>
        </w:trPr>
        <w:tc>
          <w:tcPr>
            <w:tcW w:w="385" w:type="dxa"/>
            <w:vAlign w:val="center"/>
          </w:tcPr>
          <w:p w:rsidR="00D632A0" w:rsidRDefault="00D632A0" w:rsidP="00D632A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:rsidR="00D632A0" w:rsidRDefault="00D632A0" w:rsidP="00D632A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29.10.2025</w:t>
            </w:r>
          </w:p>
        </w:tc>
        <w:tc>
          <w:tcPr>
            <w:tcW w:w="7488" w:type="dxa"/>
            <w:vAlign w:val="center"/>
          </w:tcPr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</w:p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propaganda nel suo sviluppo storico, individuando le costanti e le permanenze, le tecniche e gli argomenti, adattati ai diversi contesti di riferimento</w:t>
            </w:r>
          </w:p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 propaganda come strumento di governo nella riflessione teorica (e nella pratica conseguente) del Novecento – Studio di caso: i maestri della propaganda Edward </w:t>
            </w:r>
            <w:proofErr w:type="spellStart"/>
            <w:r>
              <w:rPr>
                <w:rFonts w:cs="Arial"/>
                <w:sz w:val="20"/>
                <w:szCs w:val="20"/>
              </w:rPr>
              <w:t>Bernays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e Joseph Goebbels</w:t>
            </w:r>
          </w:p>
        </w:tc>
      </w:tr>
      <w:tr w:rsidR="00D632A0">
        <w:trPr>
          <w:trHeight w:val="567"/>
        </w:trPr>
        <w:tc>
          <w:tcPr>
            <w:tcW w:w="385" w:type="dxa"/>
            <w:vAlign w:val="center"/>
          </w:tcPr>
          <w:p w:rsidR="00D632A0" w:rsidRDefault="00D632A0" w:rsidP="00D632A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:rsidR="00D632A0" w:rsidRDefault="00D632A0" w:rsidP="00D632A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7488" w:type="dxa"/>
            <w:vAlign w:val="center"/>
          </w:tcPr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</w:p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propaganda negli strumenti della comunicazione di massa: politica, cinema, televisione, arti visive, musica</w:t>
            </w:r>
          </w:p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Studio di caso: il cinema di propaganda nell’Italia fascista e nella Germania nazionalsocialista</w:t>
            </w:r>
          </w:p>
        </w:tc>
      </w:tr>
      <w:tr w:rsidR="00D632A0">
        <w:trPr>
          <w:trHeight w:val="567"/>
        </w:trPr>
        <w:tc>
          <w:tcPr>
            <w:tcW w:w="385" w:type="dxa"/>
            <w:vAlign w:val="center"/>
          </w:tcPr>
          <w:p w:rsidR="00D632A0" w:rsidRDefault="00D632A0" w:rsidP="00D632A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:rsidR="00D632A0" w:rsidRDefault="00D632A0" w:rsidP="00D632A0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488" w:type="dxa"/>
            <w:vAlign w:val="center"/>
          </w:tcPr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propaganda nel nostro Paese, da quella bellica a quella patriottica, da quella elettorale a quella di regime, da quella politica a quella economica</w:t>
            </w:r>
          </w:p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Studio di caso: la propaganda bellica italiana (guerre coloniali, Prima e seconda guerra mondiale, RSI)</w:t>
            </w:r>
          </w:p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</w:p>
        </w:tc>
      </w:tr>
      <w:tr w:rsidR="00D632A0">
        <w:trPr>
          <w:trHeight w:val="567"/>
        </w:trPr>
        <w:tc>
          <w:tcPr>
            <w:tcW w:w="385" w:type="dxa"/>
            <w:vAlign w:val="center"/>
          </w:tcPr>
          <w:p w:rsidR="00D632A0" w:rsidRDefault="00D632A0" w:rsidP="00D632A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:rsidR="00D632A0" w:rsidRDefault="00D632A0" w:rsidP="00D63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</w:tc>
        <w:tc>
          <w:tcPr>
            <w:tcW w:w="7488" w:type="dxa"/>
            <w:vAlign w:val="center"/>
          </w:tcPr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propaganda nell’epoca di internet e del dominio dei social media, imprescindibili nell’orientamento dell’opinione pubblica e delle sue scelte</w:t>
            </w:r>
          </w:p>
          <w:p w:rsidR="00D632A0" w:rsidRDefault="00D632A0" w:rsidP="00D632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Studio di caso: le campagne elettorali nell’Italia repubblicana</w:t>
            </w:r>
          </w:p>
        </w:tc>
      </w:tr>
    </w:tbl>
    <w:p w:rsidR="005E6661" w:rsidRDefault="005E6661">
      <w:pPr>
        <w:rPr>
          <w:rFonts w:ascii="Times New Roman" w:hAnsi="Times New Roman"/>
        </w:rPr>
      </w:pPr>
    </w:p>
    <w:p w:rsidR="005E6661" w:rsidRDefault="005E6661">
      <w:pPr>
        <w:rPr>
          <w:b/>
          <w:sz w:val="24"/>
        </w:rPr>
      </w:pPr>
    </w:p>
    <w:p w:rsidR="005E6661" w:rsidRDefault="005E6661">
      <w:pPr>
        <w:rPr>
          <w:b/>
          <w:sz w:val="24"/>
        </w:rPr>
      </w:pPr>
    </w:p>
    <w:p w:rsidR="005E6661" w:rsidRDefault="005E6661">
      <w:pPr>
        <w:rPr>
          <w:sz w:val="22"/>
          <w:szCs w:val="22"/>
        </w:rPr>
      </w:pPr>
    </w:p>
    <w:p w:rsidR="005E6661" w:rsidRDefault="005E6661">
      <w:pPr>
        <w:rPr>
          <w:sz w:val="20"/>
          <w:szCs w:val="20"/>
        </w:rPr>
      </w:pPr>
    </w:p>
    <w:p w:rsidR="005E6661" w:rsidRDefault="005E6661"/>
    <w:sectPr w:rsidR="005E6661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61"/>
    <w:rsid w:val="005E6661"/>
    <w:rsid w:val="00D6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394847"/>
    <w:pPr>
      <w:widowControl w:val="0"/>
      <w:suppressLineNumbers/>
    </w:pPr>
    <w:rPr>
      <w:rFonts w:ascii="Times New Roman" w:hAnsi="Times New Roman"/>
      <w:sz w:val="24"/>
    </w:r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8</cp:revision>
  <dcterms:created xsi:type="dcterms:W3CDTF">2025-05-16T16:39:00Z</dcterms:created>
  <dcterms:modified xsi:type="dcterms:W3CDTF">2025-08-10T19:54:00Z</dcterms:modified>
  <dc:language>it-IT</dc:language>
</cp:coreProperties>
</file>