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11EF" w14:textId="77777777" w:rsidR="002B58AA" w:rsidRDefault="00D87F70">
      <w:pPr>
        <w:pStyle w:val="Intestazione"/>
        <w:spacing w:after="40"/>
        <w:rPr>
          <w:b/>
          <w:bCs/>
          <w:sz w:val="44"/>
        </w:rPr>
      </w:pPr>
      <w:r>
        <w:rPr>
          <w:noProof/>
        </w:rPr>
        <w:drawing>
          <wp:anchor distT="0" distB="0" distL="114300" distR="114300" simplePos="0" relativeHeight="2" behindDoc="0" locked="0" layoutInCell="0" allowOverlap="1" wp14:anchorId="71A88E49" wp14:editId="6A6773D6">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4"/>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0EC4BF64" w14:textId="77777777" w:rsidR="002B58AA" w:rsidRDefault="00D87F70">
      <w:pPr>
        <w:pStyle w:val="Intestazione"/>
        <w:rPr>
          <w:b/>
          <w:bCs/>
          <w:color w:val="00B050"/>
          <w:sz w:val="24"/>
        </w:rPr>
      </w:pPr>
      <w:r>
        <w:rPr>
          <w:color w:val="00B050"/>
        </w:rPr>
        <w:t xml:space="preserve">                                                           Bergamo –</w:t>
      </w:r>
      <w:r>
        <w:rPr>
          <w:b/>
          <w:color w:val="00B050"/>
        </w:rPr>
        <w:t xml:space="preserve"> </w:t>
      </w:r>
      <w:r>
        <w:rPr>
          <w:b/>
          <w:bCs/>
          <w:color w:val="00B050"/>
          <w:sz w:val="24"/>
        </w:rPr>
        <w:t>SECONDA FASE</w:t>
      </w:r>
    </w:p>
    <w:p w14:paraId="2CEF1055" w14:textId="77777777" w:rsidR="002B58AA" w:rsidRDefault="002B58AA">
      <w:pPr>
        <w:rPr>
          <w:sz w:val="20"/>
          <w:szCs w:val="20"/>
        </w:rPr>
      </w:pPr>
    </w:p>
    <w:p w14:paraId="6A525EC6" w14:textId="77777777" w:rsidR="002B58AA" w:rsidRDefault="002B58AA">
      <w:pPr>
        <w:rPr>
          <w:sz w:val="20"/>
          <w:szCs w:val="20"/>
        </w:rPr>
      </w:pPr>
    </w:p>
    <w:p w14:paraId="750AC039" w14:textId="77777777" w:rsidR="002B58AA" w:rsidRDefault="002B58AA">
      <w:pPr>
        <w:rPr>
          <w:sz w:val="20"/>
          <w:szCs w:val="20"/>
        </w:rPr>
      </w:pPr>
    </w:p>
    <w:tbl>
      <w:tblPr>
        <w:tblW w:w="9634" w:type="dxa"/>
        <w:tblLayout w:type="fixed"/>
        <w:tblLook w:val="00A0" w:firstRow="1" w:lastRow="0" w:firstColumn="1" w:lastColumn="0" w:noHBand="0" w:noVBand="0"/>
      </w:tblPr>
      <w:tblGrid>
        <w:gridCol w:w="1695"/>
        <w:gridCol w:w="852"/>
        <w:gridCol w:w="7087"/>
      </w:tblGrid>
      <w:tr w:rsidR="002B58AA" w14:paraId="4C12E328" w14:textId="77777777">
        <w:trPr>
          <w:trHeight w:val="830"/>
        </w:trPr>
        <w:tc>
          <w:tcPr>
            <w:tcW w:w="1695" w:type="dxa"/>
            <w:tcBorders>
              <w:top w:val="single" w:sz="4" w:space="0" w:color="000000"/>
              <w:left w:val="single" w:sz="4" w:space="0" w:color="000000"/>
              <w:bottom w:val="single" w:sz="4" w:space="0" w:color="000000"/>
            </w:tcBorders>
            <w:vAlign w:val="center"/>
          </w:tcPr>
          <w:p w14:paraId="387D32EF" w14:textId="77777777" w:rsidR="002B58AA" w:rsidRDefault="00D87F70">
            <w:pPr>
              <w:jc w:val="center"/>
              <w:rPr>
                <w:szCs w:val="28"/>
              </w:rPr>
            </w:pPr>
            <w:r>
              <w:rPr>
                <w:szCs w:val="28"/>
              </w:rPr>
              <w:t>Modulo n°</w:t>
            </w:r>
          </w:p>
        </w:tc>
        <w:tc>
          <w:tcPr>
            <w:tcW w:w="852" w:type="dxa"/>
            <w:tcBorders>
              <w:top w:val="single" w:sz="4" w:space="0" w:color="000000"/>
              <w:bottom w:val="single" w:sz="4" w:space="0" w:color="000000"/>
            </w:tcBorders>
            <w:vAlign w:val="center"/>
          </w:tcPr>
          <w:p w14:paraId="3617C7C7" w14:textId="77777777" w:rsidR="002B58AA" w:rsidRDefault="00D87F70">
            <w:pPr>
              <w:jc w:val="center"/>
              <w:rPr>
                <w:b/>
                <w:sz w:val="40"/>
                <w:szCs w:val="40"/>
              </w:rPr>
            </w:pPr>
            <w:r>
              <w:rPr>
                <w:b/>
                <w:sz w:val="40"/>
                <w:szCs w:val="40"/>
              </w:rPr>
              <w:t>46</w:t>
            </w:r>
          </w:p>
        </w:tc>
        <w:tc>
          <w:tcPr>
            <w:tcW w:w="7087" w:type="dxa"/>
            <w:tcBorders>
              <w:top w:val="single" w:sz="4" w:space="0" w:color="000000"/>
              <w:bottom w:val="single" w:sz="4" w:space="0" w:color="000000"/>
              <w:right w:val="single" w:sz="4" w:space="0" w:color="000000"/>
            </w:tcBorders>
            <w:vAlign w:val="center"/>
          </w:tcPr>
          <w:p w14:paraId="4957E5AC" w14:textId="77777777" w:rsidR="002B58AA" w:rsidRDefault="00D87F70">
            <w:pPr>
              <w:jc w:val="both"/>
              <w:rPr>
                <w:rFonts w:eastAsia="Arial" w:cs="Arial"/>
                <w:b/>
                <w:i/>
                <w:iCs/>
                <w:sz w:val="18"/>
                <w:szCs w:val="18"/>
              </w:rPr>
            </w:pPr>
            <w:r>
              <w:rPr>
                <w:rFonts w:eastAsia="Arial" w:cs="Arial"/>
                <w:b/>
                <w:i/>
                <w:iCs/>
                <w:szCs w:val="28"/>
              </w:rPr>
              <w:t xml:space="preserve">IL TERMOMETRO DELL’AGGRESSIVITA’: UNA RIFLESSIONE PSICOLOGICA </w:t>
            </w:r>
            <w:r>
              <w:rPr>
                <w:rFonts w:eastAsia="Arial" w:cs="Arial"/>
                <w:i/>
                <w:iCs/>
                <w:szCs w:val="28"/>
              </w:rPr>
              <w:t>(NUOVO)</w:t>
            </w:r>
          </w:p>
        </w:tc>
      </w:tr>
    </w:tbl>
    <w:p w14:paraId="0BA1500C" w14:textId="77777777" w:rsidR="002B58AA" w:rsidRDefault="002B58AA">
      <w:pPr>
        <w:rPr>
          <w:sz w:val="22"/>
          <w:szCs w:val="22"/>
        </w:rPr>
      </w:pPr>
    </w:p>
    <w:tbl>
      <w:tblPr>
        <w:tblW w:w="9638" w:type="dxa"/>
        <w:tblLayout w:type="fixed"/>
        <w:tblLook w:val="00A0" w:firstRow="1" w:lastRow="0" w:firstColumn="1" w:lastColumn="0" w:noHBand="0" w:noVBand="0"/>
      </w:tblPr>
      <w:tblGrid>
        <w:gridCol w:w="1728"/>
        <w:gridCol w:w="7910"/>
      </w:tblGrid>
      <w:tr w:rsidR="002B58AA" w14:paraId="1351D249" w14:textId="77777777">
        <w:trPr>
          <w:trHeight w:val="340"/>
        </w:trPr>
        <w:tc>
          <w:tcPr>
            <w:tcW w:w="1728" w:type="dxa"/>
            <w:vAlign w:val="center"/>
          </w:tcPr>
          <w:p w14:paraId="4688A005" w14:textId="77777777" w:rsidR="002B58AA" w:rsidRDefault="00D87F70">
            <w:pPr>
              <w:spacing w:line="360" w:lineRule="auto"/>
              <w:rPr>
                <w:b/>
                <w:sz w:val="22"/>
                <w:szCs w:val="22"/>
              </w:rPr>
            </w:pPr>
            <w:r>
              <w:rPr>
                <w:b/>
                <w:sz w:val="22"/>
                <w:szCs w:val="22"/>
              </w:rPr>
              <w:t>Docente</w:t>
            </w:r>
          </w:p>
        </w:tc>
        <w:tc>
          <w:tcPr>
            <w:tcW w:w="7909" w:type="dxa"/>
            <w:vAlign w:val="center"/>
          </w:tcPr>
          <w:p w14:paraId="026FBA7C" w14:textId="77777777" w:rsidR="002B58AA" w:rsidRDefault="00D87F70">
            <w:pPr>
              <w:rPr>
                <w:rFonts w:eastAsia="Arial" w:cs="Arial"/>
                <w:b/>
                <w:bCs/>
                <w:sz w:val="22"/>
                <w:szCs w:val="22"/>
              </w:rPr>
            </w:pPr>
            <w:r>
              <w:rPr>
                <w:rFonts w:eastAsia="Arial" w:cs="Arial"/>
                <w:b/>
                <w:bCs/>
                <w:sz w:val="22"/>
                <w:szCs w:val="22"/>
              </w:rPr>
              <w:t>Greta Capelli</w:t>
            </w:r>
          </w:p>
        </w:tc>
      </w:tr>
      <w:tr w:rsidR="002B58AA" w14:paraId="26993236" w14:textId="77777777">
        <w:trPr>
          <w:trHeight w:val="340"/>
        </w:trPr>
        <w:tc>
          <w:tcPr>
            <w:tcW w:w="1728" w:type="dxa"/>
            <w:vAlign w:val="center"/>
          </w:tcPr>
          <w:p w14:paraId="44FCE694" w14:textId="77777777" w:rsidR="002B58AA" w:rsidRDefault="00D87F70">
            <w:pPr>
              <w:spacing w:line="360" w:lineRule="auto"/>
              <w:rPr>
                <w:b/>
                <w:sz w:val="22"/>
                <w:szCs w:val="22"/>
              </w:rPr>
            </w:pPr>
            <w:r>
              <w:rPr>
                <w:b/>
                <w:sz w:val="22"/>
                <w:szCs w:val="22"/>
              </w:rPr>
              <w:t>Giorno</w:t>
            </w:r>
          </w:p>
        </w:tc>
        <w:tc>
          <w:tcPr>
            <w:tcW w:w="7909" w:type="dxa"/>
            <w:vAlign w:val="center"/>
          </w:tcPr>
          <w:p w14:paraId="3526A51E" w14:textId="77777777" w:rsidR="002B58AA" w:rsidRDefault="00D87F70">
            <w:pPr>
              <w:rPr>
                <w:rFonts w:eastAsia="Arial" w:cs="Arial"/>
                <w:sz w:val="22"/>
                <w:szCs w:val="22"/>
              </w:rPr>
            </w:pPr>
            <w:r>
              <w:rPr>
                <w:rFonts w:eastAsia="Arial" w:cs="Arial"/>
                <w:sz w:val="22"/>
                <w:szCs w:val="22"/>
              </w:rPr>
              <w:t>Martedì</w:t>
            </w:r>
            <w:bookmarkStart w:id="0" w:name="bookmark=id.6tjwtntnrb6n"/>
            <w:bookmarkEnd w:id="0"/>
          </w:p>
        </w:tc>
      </w:tr>
      <w:tr w:rsidR="002B58AA" w14:paraId="6FF3F49F" w14:textId="77777777">
        <w:trPr>
          <w:trHeight w:val="340"/>
        </w:trPr>
        <w:tc>
          <w:tcPr>
            <w:tcW w:w="1728" w:type="dxa"/>
            <w:vAlign w:val="center"/>
          </w:tcPr>
          <w:p w14:paraId="5E2811F0" w14:textId="77777777" w:rsidR="002B58AA" w:rsidRDefault="00D87F70">
            <w:pPr>
              <w:spacing w:line="360" w:lineRule="auto"/>
              <w:rPr>
                <w:b/>
                <w:sz w:val="22"/>
                <w:szCs w:val="22"/>
              </w:rPr>
            </w:pPr>
            <w:r>
              <w:rPr>
                <w:b/>
                <w:sz w:val="22"/>
                <w:szCs w:val="22"/>
              </w:rPr>
              <w:t>Orario</w:t>
            </w:r>
          </w:p>
        </w:tc>
        <w:tc>
          <w:tcPr>
            <w:tcW w:w="7909" w:type="dxa"/>
            <w:vAlign w:val="center"/>
          </w:tcPr>
          <w:p w14:paraId="4245199A" w14:textId="75DA4E9B" w:rsidR="002B58AA" w:rsidRDefault="00D87F70">
            <w:pPr>
              <w:rPr>
                <w:bCs/>
                <w:sz w:val="22"/>
                <w:szCs w:val="22"/>
              </w:rPr>
            </w:pPr>
            <w:r>
              <w:rPr>
                <w:rFonts w:eastAsia="Arial" w:cs="Arial"/>
                <w:sz w:val="22"/>
                <w:szCs w:val="22"/>
              </w:rPr>
              <w:t>9.30 -</w:t>
            </w:r>
            <w:r>
              <w:rPr>
                <w:rFonts w:eastAsia="Arial" w:cs="Arial"/>
                <w:sz w:val="22"/>
                <w:szCs w:val="22"/>
              </w:rPr>
              <w:t xml:space="preserve"> 11.45</w:t>
            </w:r>
          </w:p>
        </w:tc>
      </w:tr>
      <w:tr w:rsidR="002B58AA" w14:paraId="7074FB25" w14:textId="77777777">
        <w:trPr>
          <w:trHeight w:val="340"/>
        </w:trPr>
        <w:tc>
          <w:tcPr>
            <w:tcW w:w="1728" w:type="dxa"/>
            <w:vAlign w:val="center"/>
          </w:tcPr>
          <w:p w14:paraId="7CFC6321" w14:textId="77777777" w:rsidR="002B58AA" w:rsidRDefault="00D87F70">
            <w:pPr>
              <w:spacing w:line="360" w:lineRule="auto"/>
              <w:rPr>
                <w:b/>
                <w:sz w:val="22"/>
                <w:szCs w:val="22"/>
              </w:rPr>
            </w:pPr>
            <w:r>
              <w:rPr>
                <w:b/>
                <w:sz w:val="22"/>
                <w:szCs w:val="22"/>
              </w:rPr>
              <w:t>Periodo</w:t>
            </w:r>
          </w:p>
        </w:tc>
        <w:tc>
          <w:tcPr>
            <w:tcW w:w="7909" w:type="dxa"/>
            <w:vAlign w:val="center"/>
          </w:tcPr>
          <w:p w14:paraId="7973F46D" w14:textId="77777777" w:rsidR="002B58AA" w:rsidRDefault="00D87F70">
            <w:pPr>
              <w:rPr>
                <w:bCs/>
                <w:sz w:val="22"/>
                <w:szCs w:val="22"/>
              </w:rPr>
            </w:pPr>
            <w:r>
              <w:rPr>
                <w:bCs/>
                <w:sz w:val="22"/>
                <w:szCs w:val="22"/>
              </w:rPr>
              <w:t xml:space="preserve">Dal </w:t>
            </w:r>
            <w:r>
              <w:rPr>
                <w:rFonts w:eastAsia="Arial" w:cs="Arial"/>
                <w:sz w:val="22"/>
                <w:szCs w:val="22"/>
              </w:rPr>
              <w:t>9 dicembre 2025 al 27 gennaio 2026 (5 incontri - € 20,00)</w:t>
            </w:r>
          </w:p>
        </w:tc>
      </w:tr>
      <w:tr w:rsidR="002B58AA" w14:paraId="153C3205" w14:textId="77777777">
        <w:trPr>
          <w:trHeight w:val="340"/>
        </w:trPr>
        <w:tc>
          <w:tcPr>
            <w:tcW w:w="1728" w:type="dxa"/>
            <w:vAlign w:val="center"/>
          </w:tcPr>
          <w:p w14:paraId="52D3BCE4" w14:textId="77777777" w:rsidR="002B58AA" w:rsidRDefault="00D87F70">
            <w:pPr>
              <w:spacing w:line="360" w:lineRule="auto"/>
              <w:rPr>
                <w:b/>
                <w:sz w:val="22"/>
                <w:szCs w:val="22"/>
              </w:rPr>
            </w:pPr>
            <w:r>
              <w:rPr>
                <w:b/>
                <w:sz w:val="22"/>
                <w:szCs w:val="22"/>
              </w:rPr>
              <w:t>Sede</w:t>
            </w:r>
          </w:p>
        </w:tc>
        <w:tc>
          <w:tcPr>
            <w:tcW w:w="7909" w:type="dxa"/>
            <w:vAlign w:val="center"/>
          </w:tcPr>
          <w:p w14:paraId="200259D0" w14:textId="77777777" w:rsidR="002B58AA" w:rsidRDefault="00D87F70">
            <w:pPr>
              <w:jc w:val="both"/>
              <w:rPr>
                <w:bCs/>
                <w:sz w:val="22"/>
                <w:szCs w:val="22"/>
              </w:rPr>
            </w:pPr>
            <w:r>
              <w:rPr>
                <w:rFonts w:eastAsia="Arial" w:cs="Arial"/>
                <w:sz w:val="22"/>
                <w:szCs w:val="22"/>
              </w:rPr>
              <w:t>La Porta</w:t>
            </w:r>
          </w:p>
        </w:tc>
      </w:tr>
      <w:tr w:rsidR="002B58AA" w14:paraId="4C339A52" w14:textId="77777777">
        <w:trPr>
          <w:trHeight w:val="312"/>
        </w:trPr>
        <w:tc>
          <w:tcPr>
            <w:tcW w:w="1728" w:type="dxa"/>
            <w:vAlign w:val="center"/>
          </w:tcPr>
          <w:p w14:paraId="415798CC" w14:textId="77777777" w:rsidR="002B58AA" w:rsidRDefault="00D87F70">
            <w:pPr>
              <w:spacing w:line="360" w:lineRule="auto"/>
              <w:rPr>
                <w:b/>
                <w:sz w:val="22"/>
                <w:szCs w:val="22"/>
              </w:rPr>
            </w:pPr>
            <w:r>
              <w:rPr>
                <w:b/>
                <w:sz w:val="22"/>
                <w:szCs w:val="22"/>
              </w:rPr>
              <w:t>Argomento</w:t>
            </w:r>
          </w:p>
        </w:tc>
        <w:tc>
          <w:tcPr>
            <w:tcW w:w="7909" w:type="dxa"/>
            <w:vAlign w:val="center"/>
          </w:tcPr>
          <w:p w14:paraId="588D9FAD" w14:textId="77777777" w:rsidR="002B58AA" w:rsidRDefault="00D87F70">
            <w:pPr>
              <w:rPr>
                <w:rFonts w:eastAsia="Arial" w:cs="Arial"/>
                <w:b/>
                <w:sz w:val="22"/>
                <w:szCs w:val="22"/>
              </w:rPr>
            </w:pPr>
            <w:r>
              <w:rPr>
                <w:rFonts w:eastAsia="Arial" w:cs="Arial"/>
                <w:b/>
                <w:sz w:val="22"/>
                <w:szCs w:val="22"/>
              </w:rPr>
              <w:t xml:space="preserve">PSICOLOGIA </w:t>
            </w:r>
          </w:p>
        </w:tc>
      </w:tr>
      <w:tr w:rsidR="002B58AA" w14:paraId="2EFDF921" w14:textId="77777777">
        <w:trPr>
          <w:trHeight w:val="1192"/>
        </w:trPr>
        <w:tc>
          <w:tcPr>
            <w:tcW w:w="1728" w:type="dxa"/>
            <w:vAlign w:val="center"/>
          </w:tcPr>
          <w:p w14:paraId="72B419E5" w14:textId="77777777" w:rsidR="002B58AA" w:rsidRDefault="00D87F70">
            <w:pPr>
              <w:rPr>
                <w:b/>
                <w:sz w:val="22"/>
                <w:szCs w:val="22"/>
              </w:rPr>
            </w:pPr>
            <w:r>
              <w:rPr>
                <w:b/>
                <w:sz w:val="22"/>
                <w:szCs w:val="22"/>
              </w:rPr>
              <w:t>Presentazione</w:t>
            </w:r>
          </w:p>
        </w:tc>
        <w:tc>
          <w:tcPr>
            <w:tcW w:w="7909" w:type="dxa"/>
            <w:vAlign w:val="center"/>
          </w:tcPr>
          <w:p w14:paraId="02526BCB" w14:textId="77777777" w:rsidR="002B58AA" w:rsidRDefault="00D87F70">
            <w:pPr>
              <w:jc w:val="both"/>
              <w:rPr>
                <w:rFonts w:eastAsia="Arial" w:cs="Arial"/>
                <w:i/>
                <w:sz w:val="22"/>
                <w:szCs w:val="22"/>
              </w:rPr>
            </w:pPr>
            <w:r>
              <w:rPr>
                <w:rFonts w:eastAsia="Arial" w:cs="Arial"/>
                <w:i/>
                <w:sz w:val="22"/>
                <w:szCs w:val="22"/>
              </w:rPr>
              <w:t>“</w:t>
            </w:r>
            <w:r>
              <w:rPr>
                <w:rFonts w:eastAsia="Arial" w:cs="Arial"/>
                <w:i/>
                <w:sz w:val="22"/>
                <w:szCs w:val="22"/>
              </w:rPr>
              <w:t>Bisogna spegnere la dismisura, prima ancora che l’incendio”. Oggi più che mai le parole di Eraclito ci appaiono adeguate nel rileggere quanto accade attorno a noi, dove l’aggressività sembra rappresentare sempre più spesso la forma di interazione sociale esercitata nelle relazioni. Al contempo, all’estremo opposto, assistiamo però alla soppressione delle spinte più istintuali che ci abitano, necessarie alla nostra autorealizzazione. Come possiamo maneggiare adeguatamente questo fenomeno complesso per render</w:t>
            </w:r>
            <w:r>
              <w:rPr>
                <w:rFonts w:eastAsia="Arial" w:cs="Arial"/>
                <w:i/>
                <w:sz w:val="22"/>
                <w:szCs w:val="22"/>
              </w:rPr>
              <w:t>lo responsabile strumento creativo e scongiurare, invece, il rischio della violenza? Come possiamo allora riconoscere l’aggressività, comprenderla e trasformarla in modo consapevole? Il corso si propone di aprire una riflessione condivisa circa il tema dell’aggressività, nel tentativo di svincolarlo da visioni riduzionistiche e semplificate.</w:t>
            </w:r>
          </w:p>
        </w:tc>
      </w:tr>
      <w:tr w:rsidR="002B58AA" w14:paraId="07E7E53A" w14:textId="77777777">
        <w:trPr>
          <w:trHeight w:val="340"/>
        </w:trPr>
        <w:tc>
          <w:tcPr>
            <w:tcW w:w="1728" w:type="dxa"/>
          </w:tcPr>
          <w:p w14:paraId="604B2B2C" w14:textId="77777777" w:rsidR="002B58AA" w:rsidRDefault="002B58AA">
            <w:pPr>
              <w:rPr>
                <w:b/>
                <w:sz w:val="22"/>
                <w:szCs w:val="22"/>
              </w:rPr>
            </w:pPr>
          </w:p>
        </w:tc>
        <w:tc>
          <w:tcPr>
            <w:tcW w:w="7909" w:type="dxa"/>
          </w:tcPr>
          <w:p w14:paraId="3EC43311" w14:textId="77777777" w:rsidR="002B58AA" w:rsidRDefault="002B58AA">
            <w:pPr>
              <w:pStyle w:val="TESTONORMALE"/>
              <w:spacing w:before="0" w:line="240" w:lineRule="auto"/>
              <w:rPr>
                <w:rFonts w:ascii="Arial" w:hAnsi="Arial" w:cs="Arial"/>
                <w:b/>
                <w:bCs/>
                <w:sz w:val="22"/>
                <w:szCs w:val="22"/>
              </w:rPr>
            </w:pPr>
          </w:p>
        </w:tc>
      </w:tr>
    </w:tbl>
    <w:p w14:paraId="66519193" w14:textId="77777777" w:rsidR="002B58AA" w:rsidRDefault="002B58AA">
      <w:pPr>
        <w:rPr>
          <w:bCs/>
          <w:sz w:val="24"/>
        </w:rPr>
      </w:pPr>
    </w:p>
    <w:p w14:paraId="624A9462" w14:textId="77777777" w:rsidR="002B58AA" w:rsidRDefault="00D87F70">
      <w:pPr>
        <w:rPr>
          <w:b/>
          <w:sz w:val="24"/>
        </w:rPr>
      </w:pPr>
      <w:r>
        <w:rPr>
          <w:bCs/>
          <w:sz w:val="24"/>
        </w:rPr>
        <w:t xml:space="preserve"> </w:t>
      </w:r>
      <w:r>
        <w:rPr>
          <w:b/>
          <w:sz w:val="24"/>
        </w:rPr>
        <w:t xml:space="preserve">Calendario  </w:t>
      </w:r>
    </w:p>
    <w:p w14:paraId="622B6797" w14:textId="77777777" w:rsidR="002B58AA" w:rsidRDefault="002B58AA">
      <w:pPr>
        <w:rPr>
          <w:b/>
          <w:sz w:val="24"/>
        </w:rPr>
      </w:pPr>
    </w:p>
    <w:tbl>
      <w:tblPr>
        <w:tblpPr w:leftFromText="141" w:rightFromText="141" w:vertAnchor="text" w:horzAnchor="margin" w:tblpY="170"/>
        <w:tblW w:w="9511" w:type="dxa"/>
        <w:tblLayout w:type="fixed"/>
        <w:tblCellMar>
          <w:left w:w="70" w:type="dxa"/>
          <w:right w:w="70" w:type="dxa"/>
        </w:tblCellMar>
        <w:tblLook w:val="0000" w:firstRow="0" w:lastRow="0" w:firstColumn="0" w:lastColumn="0" w:noHBand="0" w:noVBand="0"/>
      </w:tblPr>
      <w:tblGrid>
        <w:gridCol w:w="385"/>
        <w:gridCol w:w="1638"/>
        <w:gridCol w:w="7488"/>
      </w:tblGrid>
      <w:tr w:rsidR="002B58AA" w14:paraId="39BC9ABB" w14:textId="77777777">
        <w:trPr>
          <w:trHeight w:val="564"/>
        </w:trPr>
        <w:tc>
          <w:tcPr>
            <w:tcW w:w="385" w:type="dxa"/>
            <w:vAlign w:val="center"/>
          </w:tcPr>
          <w:p w14:paraId="3631EC97" w14:textId="77777777" w:rsidR="002B58AA" w:rsidRDefault="00D87F70">
            <w:pPr>
              <w:jc w:val="center"/>
              <w:rPr>
                <w:rFonts w:cs="Arial"/>
                <w:b/>
                <w:bCs/>
                <w:sz w:val="22"/>
                <w:szCs w:val="22"/>
              </w:rPr>
            </w:pPr>
            <w:r>
              <w:rPr>
                <w:rFonts w:cs="Arial"/>
                <w:b/>
                <w:bCs/>
                <w:sz w:val="22"/>
                <w:szCs w:val="22"/>
              </w:rPr>
              <w:t>1</w:t>
            </w:r>
          </w:p>
        </w:tc>
        <w:tc>
          <w:tcPr>
            <w:tcW w:w="1638" w:type="dxa"/>
            <w:vAlign w:val="center"/>
          </w:tcPr>
          <w:p w14:paraId="344E2370" w14:textId="77777777" w:rsidR="002B58AA" w:rsidRDefault="00D87F70">
            <w:pPr>
              <w:ind w:left="57"/>
              <w:jc w:val="center"/>
              <w:rPr>
                <w:sz w:val="22"/>
                <w:szCs w:val="22"/>
              </w:rPr>
            </w:pPr>
            <w:r>
              <w:rPr>
                <w:sz w:val="22"/>
                <w:szCs w:val="22"/>
              </w:rPr>
              <w:t>09.12.2025</w:t>
            </w:r>
          </w:p>
        </w:tc>
        <w:tc>
          <w:tcPr>
            <w:tcW w:w="7488" w:type="dxa"/>
            <w:vAlign w:val="center"/>
          </w:tcPr>
          <w:p w14:paraId="34B25D93" w14:textId="77777777" w:rsidR="002B58AA" w:rsidRDefault="00D87F70">
            <w:pPr>
              <w:pStyle w:val="Nessunaspaziatura"/>
              <w:rPr>
                <w:rFonts w:ascii="Arial" w:hAnsi="Arial" w:cs="Arial"/>
              </w:rPr>
            </w:pPr>
            <w:r>
              <w:rPr>
                <w:rFonts w:ascii="Arial" w:hAnsi="Arial" w:cs="Arial"/>
              </w:rPr>
              <w:t>Introduzione all’aggressività: una prospettiva psicoanalitica ed evolutiva.</w:t>
            </w:r>
          </w:p>
        </w:tc>
      </w:tr>
      <w:tr w:rsidR="002B58AA" w14:paraId="477EFEC5" w14:textId="77777777">
        <w:trPr>
          <w:trHeight w:val="567"/>
        </w:trPr>
        <w:tc>
          <w:tcPr>
            <w:tcW w:w="385" w:type="dxa"/>
            <w:vAlign w:val="center"/>
          </w:tcPr>
          <w:p w14:paraId="1388D8F8" w14:textId="77777777" w:rsidR="002B58AA" w:rsidRDefault="00D87F70">
            <w:pPr>
              <w:jc w:val="center"/>
              <w:rPr>
                <w:rFonts w:cs="Arial"/>
                <w:b/>
                <w:bCs/>
                <w:sz w:val="22"/>
                <w:szCs w:val="22"/>
              </w:rPr>
            </w:pPr>
            <w:r>
              <w:rPr>
                <w:rFonts w:cs="Arial"/>
                <w:b/>
                <w:bCs/>
                <w:sz w:val="22"/>
                <w:szCs w:val="22"/>
              </w:rPr>
              <w:t>2</w:t>
            </w:r>
          </w:p>
        </w:tc>
        <w:tc>
          <w:tcPr>
            <w:tcW w:w="1638" w:type="dxa"/>
            <w:vAlign w:val="center"/>
          </w:tcPr>
          <w:p w14:paraId="03F85E31" w14:textId="77777777" w:rsidR="002B58AA" w:rsidRDefault="00D87F70">
            <w:pPr>
              <w:ind w:left="57"/>
              <w:jc w:val="center"/>
              <w:rPr>
                <w:sz w:val="22"/>
                <w:szCs w:val="22"/>
              </w:rPr>
            </w:pPr>
            <w:r>
              <w:rPr>
                <w:sz w:val="22"/>
                <w:szCs w:val="22"/>
              </w:rPr>
              <w:t>16.12.2025</w:t>
            </w:r>
          </w:p>
        </w:tc>
        <w:tc>
          <w:tcPr>
            <w:tcW w:w="7488" w:type="dxa"/>
            <w:vAlign w:val="center"/>
          </w:tcPr>
          <w:p w14:paraId="6A4224D6" w14:textId="77777777" w:rsidR="002B58AA" w:rsidRDefault="00D87F70">
            <w:pPr>
              <w:pStyle w:val="Nessunaspaziatura"/>
              <w:rPr>
                <w:rFonts w:ascii="Arial" w:hAnsi="Arial" w:cs="Arial"/>
              </w:rPr>
            </w:pPr>
            <w:r>
              <w:rPr>
                <w:rFonts w:ascii="Arial" w:hAnsi="Arial" w:cs="Arial"/>
              </w:rPr>
              <w:t>Rabbia e aggressività: come sperimentiamo le emozioni distruttive e come le integriamo nella nostra personalità. </w:t>
            </w:r>
          </w:p>
          <w:p w14:paraId="068C17F0" w14:textId="77777777" w:rsidR="002B58AA" w:rsidRDefault="002B58AA">
            <w:pPr>
              <w:pStyle w:val="Nessunaspaziatura"/>
              <w:rPr>
                <w:rFonts w:ascii="Arial" w:hAnsi="Arial" w:cs="Arial"/>
              </w:rPr>
            </w:pPr>
          </w:p>
        </w:tc>
      </w:tr>
      <w:tr w:rsidR="002B58AA" w14:paraId="432F69E3" w14:textId="77777777">
        <w:trPr>
          <w:trHeight w:val="567"/>
        </w:trPr>
        <w:tc>
          <w:tcPr>
            <w:tcW w:w="385" w:type="dxa"/>
            <w:vAlign w:val="center"/>
          </w:tcPr>
          <w:p w14:paraId="6E00A853" w14:textId="77777777" w:rsidR="002B58AA" w:rsidRDefault="00D87F70">
            <w:pPr>
              <w:jc w:val="center"/>
              <w:rPr>
                <w:rFonts w:cs="Arial"/>
                <w:b/>
                <w:bCs/>
                <w:sz w:val="22"/>
                <w:szCs w:val="22"/>
              </w:rPr>
            </w:pPr>
            <w:r>
              <w:rPr>
                <w:rFonts w:cs="Arial"/>
                <w:b/>
                <w:bCs/>
                <w:sz w:val="22"/>
                <w:szCs w:val="22"/>
              </w:rPr>
              <w:t>3</w:t>
            </w:r>
          </w:p>
        </w:tc>
        <w:tc>
          <w:tcPr>
            <w:tcW w:w="1638" w:type="dxa"/>
            <w:vAlign w:val="center"/>
          </w:tcPr>
          <w:p w14:paraId="2A467369" w14:textId="77777777" w:rsidR="002B58AA" w:rsidRDefault="00D87F70">
            <w:pPr>
              <w:ind w:left="57"/>
              <w:jc w:val="center"/>
              <w:rPr>
                <w:sz w:val="22"/>
                <w:szCs w:val="22"/>
              </w:rPr>
            </w:pPr>
            <w:r>
              <w:rPr>
                <w:sz w:val="22"/>
                <w:szCs w:val="22"/>
              </w:rPr>
              <w:t>13.01.2026</w:t>
            </w:r>
          </w:p>
        </w:tc>
        <w:tc>
          <w:tcPr>
            <w:tcW w:w="7488" w:type="dxa"/>
            <w:vAlign w:val="center"/>
          </w:tcPr>
          <w:p w14:paraId="6BC65557" w14:textId="77777777" w:rsidR="002B58AA" w:rsidRDefault="00D87F70">
            <w:pPr>
              <w:pStyle w:val="Nessunaspaziatura"/>
              <w:rPr>
                <w:rFonts w:ascii="Arial" w:hAnsi="Arial" w:cs="Arial"/>
              </w:rPr>
            </w:pPr>
            <w:r>
              <w:rPr>
                <w:rFonts w:ascii="Arial" w:hAnsi="Arial" w:cs="Arial"/>
              </w:rPr>
              <w:t>Come le emozioni distruttive possono essere adeguatamente utilizzate e come, invece, rischiano la deriva violenta.</w:t>
            </w:r>
          </w:p>
          <w:p w14:paraId="32C4CE69" w14:textId="77777777" w:rsidR="002B58AA" w:rsidRDefault="002B58AA">
            <w:pPr>
              <w:pStyle w:val="Nessunaspaziatura"/>
              <w:rPr>
                <w:rFonts w:ascii="Arial" w:hAnsi="Arial" w:cs="Arial"/>
              </w:rPr>
            </w:pPr>
          </w:p>
        </w:tc>
      </w:tr>
      <w:tr w:rsidR="002B58AA" w14:paraId="72664D19" w14:textId="77777777">
        <w:trPr>
          <w:trHeight w:val="567"/>
        </w:trPr>
        <w:tc>
          <w:tcPr>
            <w:tcW w:w="385" w:type="dxa"/>
            <w:vAlign w:val="center"/>
          </w:tcPr>
          <w:p w14:paraId="0CFDF7D8" w14:textId="77777777" w:rsidR="002B58AA" w:rsidRDefault="00D87F70">
            <w:pPr>
              <w:jc w:val="center"/>
              <w:rPr>
                <w:rFonts w:cs="Arial"/>
                <w:b/>
                <w:bCs/>
                <w:sz w:val="22"/>
                <w:szCs w:val="22"/>
              </w:rPr>
            </w:pPr>
            <w:r>
              <w:rPr>
                <w:rFonts w:cs="Arial"/>
                <w:b/>
                <w:bCs/>
                <w:sz w:val="22"/>
                <w:szCs w:val="22"/>
              </w:rPr>
              <w:t>4</w:t>
            </w:r>
          </w:p>
        </w:tc>
        <w:tc>
          <w:tcPr>
            <w:tcW w:w="1638" w:type="dxa"/>
            <w:vAlign w:val="center"/>
          </w:tcPr>
          <w:p w14:paraId="0619CCCC" w14:textId="77777777" w:rsidR="002B58AA" w:rsidRDefault="00D87F70">
            <w:pPr>
              <w:jc w:val="center"/>
              <w:rPr>
                <w:sz w:val="22"/>
                <w:szCs w:val="22"/>
              </w:rPr>
            </w:pPr>
            <w:r>
              <w:rPr>
                <w:sz w:val="22"/>
                <w:szCs w:val="22"/>
              </w:rPr>
              <w:t>20.01.2026</w:t>
            </w:r>
          </w:p>
        </w:tc>
        <w:tc>
          <w:tcPr>
            <w:tcW w:w="7488" w:type="dxa"/>
            <w:vAlign w:val="center"/>
          </w:tcPr>
          <w:p w14:paraId="26D271D9" w14:textId="77777777" w:rsidR="002B58AA" w:rsidRDefault="00D87F70">
            <w:pPr>
              <w:pStyle w:val="Nessunaspaziatura"/>
              <w:rPr>
                <w:rFonts w:ascii="Arial" w:hAnsi="Arial" w:cs="Arial"/>
              </w:rPr>
            </w:pPr>
            <w:r>
              <w:rPr>
                <w:rFonts w:ascii="Arial" w:hAnsi="Arial" w:cs="Arial"/>
              </w:rPr>
              <w:t>La rabbia mal digerita: aggressività e corpo. </w:t>
            </w:r>
          </w:p>
        </w:tc>
      </w:tr>
      <w:tr w:rsidR="002B58AA" w14:paraId="72F9FF59" w14:textId="77777777">
        <w:trPr>
          <w:trHeight w:val="567"/>
        </w:trPr>
        <w:tc>
          <w:tcPr>
            <w:tcW w:w="385" w:type="dxa"/>
            <w:vAlign w:val="center"/>
          </w:tcPr>
          <w:p w14:paraId="59A8ABEC" w14:textId="77777777" w:rsidR="002B58AA" w:rsidRDefault="00D87F70">
            <w:pPr>
              <w:jc w:val="center"/>
              <w:rPr>
                <w:rFonts w:cs="Arial"/>
                <w:b/>
                <w:bCs/>
                <w:sz w:val="22"/>
                <w:szCs w:val="22"/>
              </w:rPr>
            </w:pPr>
            <w:r>
              <w:rPr>
                <w:rFonts w:cs="Arial"/>
                <w:b/>
                <w:bCs/>
                <w:sz w:val="22"/>
                <w:szCs w:val="22"/>
              </w:rPr>
              <w:t>5</w:t>
            </w:r>
          </w:p>
        </w:tc>
        <w:tc>
          <w:tcPr>
            <w:tcW w:w="1638" w:type="dxa"/>
            <w:vAlign w:val="center"/>
          </w:tcPr>
          <w:p w14:paraId="36D84FAE" w14:textId="77777777" w:rsidR="002B58AA" w:rsidRDefault="00D87F70">
            <w:pPr>
              <w:ind w:left="57"/>
              <w:jc w:val="center"/>
              <w:rPr>
                <w:sz w:val="22"/>
                <w:szCs w:val="22"/>
              </w:rPr>
            </w:pPr>
            <w:r>
              <w:rPr>
                <w:sz w:val="22"/>
                <w:szCs w:val="22"/>
              </w:rPr>
              <w:t>27.01.2026</w:t>
            </w:r>
          </w:p>
        </w:tc>
        <w:tc>
          <w:tcPr>
            <w:tcW w:w="7488" w:type="dxa"/>
            <w:vAlign w:val="center"/>
          </w:tcPr>
          <w:p w14:paraId="2375A2F9" w14:textId="77777777" w:rsidR="002B58AA" w:rsidRDefault="00D87F70">
            <w:pPr>
              <w:pStyle w:val="Nessunaspaziatura"/>
              <w:rPr>
                <w:rFonts w:ascii="Arial" w:hAnsi="Arial" w:cs="Arial"/>
              </w:rPr>
            </w:pPr>
            <w:r>
              <w:rPr>
                <w:rFonts w:ascii="Arial" w:hAnsi="Arial" w:cs="Arial"/>
              </w:rPr>
              <w:t>Cosa sta accadendo? Una riflessione sulle dinamiche aggressive e violente che caratterizzano il mondo attuale. </w:t>
            </w:r>
          </w:p>
        </w:tc>
      </w:tr>
    </w:tbl>
    <w:p w14:paraId="7BC5F1D0" w14:textId="77777777" w:rsidR="002B58AA" w:rsidRDefault="002B58AA">
      <w:pPr>
        <w:rPr>
          <w:rFonts w:ascii="Times New Roman" w:hAnsi="Times New Roman"/>
        </w:rPr>
      </w:pPr>
    </w:p>
    <w:p w14:paraId="73DABBC2" w14:textId="77777777" w:rsidR="002B58AA" w:rsidRDefault="002B58AA">
      <w:pPr>
        <w:rPr>
          <w:b/>
          <w:sz w:val="24"/>
        </w:rPr>
      </w:pPr>
    </w:p>
    <w:p w14:paraId="296203C7" w14:textId="77777777" w:rsidR="002B58AA" w:rsidRDefault="002B58AA">
      <w:pPr>
        <w:rPr>
          <w:b/>
          <w:sz w:val="24"/>
        </w:rPr>
      </w:pPr>
    </w:p>
    <w:p w14:paraId="3037BE56" w14:textId="77777777" w:rsidR="002B58AA" w:rsidRDefault="002B58AA">
      <w:pPr>
        <w:rPr>
          <w:sz w:val="22"/>
          <w:szCs w:val="22"/>
        </w:rPr>
      </w:pPr>
    </w:p>
    <w:p w14:paraId="658DC94C" w14:textId="77777777" w:rsidR="002B58AA" w:rsidRDefault="002B58AA">
      <w:pPr>
        <w:rPr>
          <w:sz w:val="20"/>
          <w:szCs w:val="20"/>
        </w:rPr>
      </w:pPr>
    </w:p>
    <w:p w14:paraId="0B706392" w14:textId="77777777" w:rsidR="002B58AA" w:rsidRDefault="002B58AA"/>
    <w:sectPr w:rsidR="002B58AA">
      <w:pgSz w:w="11906" w:h="16838"/>
      <w:pgMar w:top="567"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AA"/>
    <w:rsid w:val="002B58AA"/>
    <w:rsid w:val="00AA71C3"/>
    <w:rsid w:val="00D87F7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09F3"/>
  <w15:docId w15:val="{BBFA6CB4-DFD7-4D03-A52C-DDC33F82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styleId="Nessunaspaziatura">
    <w:name w:val="No Spacing"/>
    <w:uiPriority w:val="1"/>
    <w:qFormat/>
    <w:rsid w:val="006C4C20"/>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9</cp:revision>
  <dcterms:created xsi:type="dcterms:W3CDTF">2025-05-13T22:06:00Z</dcterms:created>
  <dcterms:modified xsi:type="dcterms:W3CDTF">2025-07-21T10:54:00Z</dcterms:modified>
  <dc:language>it-IT</dc:language>
</cp:coreProperties>
</file>