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0"/>
        <w:rPr>
          <w:b/>
          <w:bCs/>
          <w:sz w:val="44"/>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40" y="0"/>
                <wp:lineTo x="-40" y="21127"/>
                <wp:lineTo x="21027" y="21127"/>
                <wp:lineTo x="21027" y="0"/>
                <wp:lineTo x="-40"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rPr>
          <w:b/>
          <w:bCs/>
          <w:color w:val="00B050"/>
          <w:sz w:val="24"/>
        </w:rPr>
      </w:pPr>
      <w:r>
        <w:rPr>
          <w:color w:val="00B050"/>
        </w:rPr>
        <w:t xml:space="preserve">                                                           </w:t>
      </w:r>
      <w:r>
        <w:rPr>
          <w:color w:val="00B050"/>
        </w:rPr>
        <w:t>Provincia –</w:t>
      </w:r>
      <w:r>
        <w:rPr>
          <w:b/>
          <w:color w:val="00B050"/>
        </w:rPr>
        <w:t xml:space="preserve"> </w:t>
      </w:r>
      <w:r>
        <w:rPr>
          <w:b/>
          <w:bCs/>
          <w:color w:val="00B050"/>
          <w:sz w:val="24"/>
        </w:rPr>
        <w:t>Prima FASE</w:t>
      </w:r>
    </w:p>
    <w:p>
      <w:pPr>
        <w:pStyle w:val="Normal"/>
        <w:rPr>
          <w:sz w:val="20"/>
          <w:szCs w:val="20"/>
        </w:rPr>
      </w:pPr>
      <w:r>
        <w:rPr>
          <w:sz w:val="20"/>
          <w:szCs w:val="20"/>
        </w:rPr>
      </w:r>
    </w:p>
    <w:p>
      <w:pPr>
        <w:pStyle w:val="Normal"/>
        <w:rPr>
          <w:sz w:val="20"/>
          <w:szCs w:val="20"/>
        </w:rPr>
      </w:pPr>
      <w:r>
        <w:rPr>
          <w:sz w:val="20"/>
          <w:szCs w:val="20"/>
        </w:rPr>
      </w:r>
    </w:p>
    <w:p>
      <w:pPr>
        <w:pStyle w:val="Normal"/>
        <w:tabs>
          <w:tab w:val="left" w:pos="708" w:leader="none"/>
        </w:tabs>
        <w:ind w:right="-7"/>
        <w:jc w:val="center"/>
        <w:rPr>
          <w:rFonts w:eastAsia="Arial" w:cs="Arial"/>
          <w:b/>
          <w:sz w:val="22"/>
          <w:szCs w:val="22"/>
        </w:rPr>
      </w:pPr>
      <w:r>
        <w:rPr>
          <w:rFonts w:eastAsia="Arial" w:cs="Arial"/>
          <w:b/>
          <w:sz w:val="22"/>
          <w:szCs w:val="22"/>
        </w:rPr>
        <w:t>TREVIGLIO</w:t>
      </w:r>
    </w:p>
    <w:p>
      <w:pPr>
        <w:pStyle w:val="Normal"/>
        <w:tabs>
          <w:tab w:val="left" w:pos="708" w:leader="none"/>
        </w:tabs>
        <w:ind w:right="-7"/>
        <w:jc w:val="both"/>
        <w:rPr>
          <w:rFonts w:eastAsia="Arial" w:cs="Arial"/>
          <w:sz w:val="20"/>
          <w:szCs w:val="20"/>
        </w:rPr>
      </w:pPr>
      <w:r>
        <w:rPr>
          <w:rFonts w:eastAsia="Arial" w:cs="Arial"/>
          <w:b/>
          <w:sz w:val="20"/>
          <w:szCs w:val="20"/>
        </w:rPr>
        <w:t xml:space="preserve">Referente: </w:t>
      </w:r>
      <w:r>
        <w:rPr>
          <w:rFonts w:eastAsia="Arial" w:cs="Arial"/>
          <w:sz w:val="20"/>
          <w:szCs w:val="20"/>
        </w:rPr>
        <w:t>Maria Reduzzi tel. 353.4399688</w:t>
      </w:r>
    </w:p>
    <w:p>
      <w:pPr>
        <w:pStyle w:val="Normal"/>
        <w:tabs>
          <w:tab w:val="left" w:pos="708" w:leader="none"/>
        </w:tabs>
        <w:ind w:right="-7"/>
        <w:jc w:val="both"/>
        <w:rPr>
          <w:rFonts w:eastAsia="Arial" w:cs="Arial"/>
          <w:sz w:val="20"/>
          <w:szCs w:val="20"/>
        </w:rPr>
      </w:pPr>
      <w:r>
        <w:rPr>
          <w:rFonts w:eastAsia="Arial" w:cs="Arial"/>
          <w:b/>
          <w:sz w:val="20"/>
          <w:szCs w:val="20"/>
        </w:rPr>
        <w:t>Iscrizioni e informazioni</w:t>
      </w:r>
      <w:r>
        <w:rPr>
          <w:rFonts w:eastAsia="Arial" w:cs="Arial"/>
          <w:sz w:val="20"/>
          <w:szCs w:val="20"/>
        </w:rPr>
        <w:t>: SPI CGIL, via Cesare Battisti 43/b, tel. 035.3594450, martedì pomeriggio dalle 14,30 alle 16,30 sino all'1ottobre (inizio dei corsi) e venerdì dalle ore 10 alle-12. e dalle 14,30 alle 16,30 a partire dal 21 giugno.</w:t>
      </w:r>
    </w:p>
    <w:p>
      <w:pPr>
        <w:pStyle w:val="Normal"/>
        <w:tabs>
          <w:tab w:val="left" w:pos="708" w:leader="none"/>
        </w:tabs>
        <w:ind w:right="-7"/>
        <w:jc w:val="both"/>
        <w:rPr>
          <w:rFonts w:eastAsia="Arial" w:cs="Arial"/>
          <w:sz w:val="18"/>
          <w:szCs w:val="18"/>
        </w:rPr>
      </w:pPr>
      <w:r>
        <w:rPr>
          <w:rFonts w:eastAsia="Arial" w:cs="Arial"/>
          <w:sz w:val="18"/>
          <w:szCs w:val="18"/>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93"/>
        <w:gridCol w:w="854"/>
        <w:gridCol w:w="7087"/>
      </w:tblGrid>
      <w:tr>
        <w:trPr>
          <w:trHeight w:val="830" w:hRule="atLeast"/>
        </w:trPr>
        <w:tc>
          <w:tcPr>
            <w:tcW w:w="1693"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854" w:type="dxa"/>
            <w:tcBorders>
              <w:top w:val="single" w:sz="4" w:space="0" w:color="000000"/>
              <w:bottom w:val="single" w:sz="4" w:space="0" w:color="000000"/>
            </w:tcBorders>
            <w:vAlign w:val="center"/>
          </w:tcPr>
          <w:p>
            <w:pPr>
              <w:pStyle w:val="Normal"/>
              <w:jc w:val="center"/>
              <w:rPr>
                <w:b/>
                <w:sz w:val="40"/>
                <w:szCs w:val="40"/>
              </w:rPr>
            </w:pPr>
            <w:r>
              <w:rPr>
                <w:b/>
                <w:sz w:val="40"/>
                <w:szCs w:val="40"/>
              </w:rPr>
              <w:t>93</w:t>
            </w:r>
          </w:p>
        </w:tc>
        <w:tc>
          <w:tcPr>
            <w:tcW w:w="7087" w:type="dxa"/>
            <w:tcBorders>
              <w:top w:val="single" w:sz="4" w:space="0" w:color="000000"/>
              <w:bottom w:val="single" w:sz="4" w:space="0" w:color="000000"/>
              <w:right w:val="single" w:sz="4" w:space="0" w:color="000000"/>
            </w:tcBorders>
            <w:vAlign w:val="center"/>
          </w:tcPr>
          <w:p>
            <w:pPr>
              <w:pStyle w:val="Normal"/>
              <w:rPr>
                <w:rFonts w:eastAsia="Arial" w:cs="Arial"/>
                <w:b/>
                <w:i/>
                <w:i/>
                <w:iCs/>
                <w:color w:val="000000"/>
                <w:sz w:val="18"/>
                <w:szCs w:val="18"/>
              </w:rPr>
            </w:pPr>
            <w:r>
              <w:rPr>
                <w:rFonts w:eastAsia="Arial" w:cs="Arial"/>
                <w:b/>
                <w:i/>
                <w:iCs/>
                <w:szCs w:val="28"/>
              </w:rPr>
              <w:t>SANTA MADRE RUSSIA: DA ZAR IVAN A “ZAR” PUTIN</w:t>
            </w:r>
          </w:p>
        </w:tc>
      </w:tr>
    </w:tbl>
    <w:p>
      <w:pPr>
        <w:pStyle w:val="Normal"/>
        <w:rPr>
          <w:sz w:val="4"/>
          <w:szCs w:val="4"/>
        </w:rPr>
      </w:pPr>
      <w:r>
        <w:rPr>
          <w:sz w:val="4"/>
          <w:szCs w:val="4"/>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jc w:val="both"/>
              <w:rPr>
                <w:rFonts w:eastAsia="Arial" w:cs="Arial"/>
                <w:b/>
                <w:bCs/>
                <w:sz w:val="22"/>
                <w:szCs w:val="22"/>
              </w:rPr>
            </w:pPr>
            <w:r>
              <w:rPr>
                <w:rFonts w:eastAsia="Arial" w:cs="Arial"/>
                <w:b/>
                <w:bCs/>
                <w:sz w:val="22"/>
                <w:szCs w:val="22"/>
              </w:rPr>
              <w:t>Fabio Celsi</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tabs>
                <w:tab w:val="left" w:pos="708" w:leader="none"/>
              </w:tabs>
              <w:ind w:right="-7"/>
              <w:rPr>
                <w:rFonts w:eastAsia="Arial" w:cs="Arial"/>
                <w:sz w:val="22"/>
                <w:szCs w:val="22"/>
              </w:rPr>
            </w:pPr>
            <w:r>
              <w:rPr>
                <w:rFonts w:eastAsia="Arial" w:cs="Arial"/>
                <w:sz w:val="22"/>
                <w:szCs w:val="22"/>
              </w:rPr>
              <w:t>Martedì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bCs/>
                <w:sz w:val="22"/>
                <w:szCs w:val="22"/>
              </w:rPr>
            </w:pPr>
            <w:r>
              <w:rPr>
                <w:bCs/>
                <w:sz w:val="22"/>
                <w:szCs w:val="22"/>
              </w:rPr>
              <w:t>15.00 - 17.15</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rPr>
                <w:bCs/>
                <w:sz w:val="22"/>
                <w:szCs w:val="22"/>
              </w:rPr>
            </w:pPr>
            <w:r>
              <w:rPr>
                <w:bCs/>
                <w:sz w:val="22"/>
                <w:szCs w:val="22"/>
              </w:rPr>
              <w:t xml:space="preserve">Dal </w:t>
            </w:r>
            <w:r>
              <w:rPr>
                <w:rFonts w:eastAsia="Arial" w:cs="Arial"/>
                <w:sz w:val="22"/>
                <w:szCs w:val="22"/>
              </w:rPr>
              <w:t>23 settembre all’11 novembre 2025 (8 incontri - € 32,00)</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tabs>
                <w:tab w:val="left" w:pos="708" w:leader="none"/>
              </w:tabs>
              <w:ind w:right="-7"/>
              <w:rPr>
                <w:rFonts w:eastAsia="Arial" w:cs="Arial"/>
                <w:sz w:val="22"/>
                <w:szCs w:val="22"/>
              </w:rPr>
            </w:pPr>
            <w:r>
              <w:rPr>
                <w:rFonts w:eastAsia="Arial" w:cs="Arial"/>
                <w:sz w:val="22"/>
                <w:szCs w:val="22"/>
              </w:rPr>
              <w:t>Sala conferenze Auser, via Merisio 6</w:t>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jc w:val="both"/>
              <w:rPr>
                <w:rFonts w:eastAsia="Arial" w:cs="Arial"/>
                <w:b/>
                <w:sz w:val="22"/>
                <w:szCs w:val="22"/>
              </w:rPr>
            </w:pPr>
            <w:r>
              <w:rPr>
                <w:rFonts w:eastAsia="Arial" w:cs="Arial"/>
                <w:b/>
                <w:sz w:val="22"/>
                <w:szCs w:val="22"/>
              </w:rPr>
              <w:t>STORIA</w:t>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jc w:val="both"/>
              <w:rPr>
                <w:rFonts w:eastAsia="Arial" w:cs="Arial"/>
                <w:b/>
                <w:i/>
                <w:i/>
                <w:iCs/>
                <w:color w:val="000000"/>
                <w:sz w:val="22"/>
                <w:szCs w:val="22"/>
              </w:rPr>
            </w:pPr>
            <w:r>
              <w:rPr>
                <w:rFonts w:eastAsia="Arial" w:cs="Arial"/>
                <w:i/>
                <w:iCs/>
                <w:sz w:val="22"/>
                <w:szCs w:val="22"/>
              </w:rPr>
              <w:t>In una fase storica in cui la “guerra fredda” fra le due superpotenze nucleari sembra riaccendersi - e Putin non sembra disponibile ad accettare una riduzione della Russia a “potenza regionale” - può essere interessante ripercorrere, seppur sinteticamente, le tappe che hanno segnato l’evolversi della Russia sovietica dalla fase della sua formazione, alla costruzione del socialismo in un paese solo, dalla sua affermazione come superpotenza, al crollo del suo impero. È una “rilettura” che può proporre qualche fascio di luce per comprendere il presente</w:t>
            </w:r>
          </w:p>
        </w:tc>
      </w:tr>
      <w:tr>
        <w:trPr>
          <w:trHeight w:val="340" w:hRule="atLeast"/>
        </w:trPr>
        <w:tc>
          <w:tcPr>
            <w:tcW w:w="1728" w:type="dxa"/>
            <w:tcBorders/>
          </w:tcPr>
          <w:p>
            <w:pPr>
              <w:pStyle w:val="Normal"/>
              <w:rPr>
                <w:bCs/>
                <w:sz w:val="22"/>
                <w:szCs w:val="22"/>
              </w:rPr>
            </w:pPr>
            <w:r>
              <w:rPr>
                <w:bCs/>
                <w:sz w:val="22"/>
                <w:szCs w:val="22"/>
              </w:rPr>
            </w:r>
          </w:p>
        </w:tc>
        <w:tc>
          <w:tcPr>
            <w:tcW w:w="7909" w:type="dxa"/>
            <w:tcBorders/>
          </w:tcPr>
          <w:p>
            <w:pPr>
              <w:pStyle w:val="TESTONORMALE"/>
              <w:spacing w:lineRule="auto" w:line="240" w:before="0" w:after="0"/>
              <w:rPr>
                <w:rFonts w:ascii="Arial" w:hAnsi="Arial" w:cs="Arial"/>
                <w:bCs/>
                <w:sz w:val="22"/>
                <w:szCs w:val="22"/>
              </w:rPr>
            </w:pPr>
            <w:r>
              <w:rPr>
                <w:rFonts w:cs="Arial" w:ascii="Arial" w:hAnsi="Arial"/>
                <w:bCs/>
                <w:sz w:val="22"/>
                <w:szCs w:val="22"/>
              </w:rPr>
            </w:r>
          </w:p>
        </w:tc>
      </w:tr>
    </w:tbl>
    <w:p>
      <w:pPr>
        <w:pStyle w:val="Normal"/>
        <w:rPr>
          <w:bCs/>
          <w:sz w:val="24"/>
        </w:rPr>
      </w:pPr>
      <w:r>
        <w:rPr>
          <w:bCs/>
          <w:sz w:val="24"/>
        </w:rPr>
      </w:r>
    </w:p>
    <w:p>
      <w:pPr>
        <w:pStyle w:val="Normal"/>
        <w:rPr>
          <w:b/>
          <w:sz w:val="24"/>
        </w:rPr>
      </w:pPr>
      <w:r>
        <w:rPr>
          <w:b/>
          <w:sz w:val="24"/>
        </w:rPr>
        <w:t xml:space="preserve"> </w:t>
      </w:r>
      <w:r>
        <w:rPr>
          <w:b/>
          <w:sz w:val="24"/>
        </w:rPr>
        <w:t xml:space="preserve">Calendario  </w:t>
      </w:r>
    </w:p>
    <w:p>
      <w:pPr>
        <w:pStyle w:val="Normal"/>
        <w:rPr>
          <w:b/>
          <w:sz w:val="24"/>
        </w:rPr>
      </w:pPr>
      <w:r>
        <w:rPr>
          <w:b/>
          <w:sz w:val="24"/>
        </w:rPr>
      </w:r>
    </w:p>
    <w:tbl>
      <w:tblPr>
        <w:tblpPr w:vertAnchor="text" w:horzAnchor="margin" w:leftFromText="141" w:rightFromText="141" w:tblpX="0" w:tblpY="170"/>
        <w:tblW w:w="9511"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85"/>
        <w:gridCol w:w="1637"/>
        <w:gridCol w:w="7489"/>
      </w:tblGrid>
      <w:tr>
        <w:trPr>
          <w:trHeight w:val="564" w:hRule="atLeast"/>
        </w:trPr>
        <w:tc>
          <w:tcPr>
            <w:tcW w:w="385" w:type="dxa"/>
            <w:tcBorders/>
            <w:vAlign w:val="center"/>
          </w:tcPr>
          <w:p>
            <w:pPr>
              <w:pStyle w:val="Normal"/>
              <w:jc w:val="center"/>
              <w:rPr>
                <w:rFonts w:cs="Arial"/>
                <w:b/>
                <w:bCs/>
                <w:sz w:val="22"/>
                <w:szCs w:val="22"/>
              </w:rPr>
            </w:pPr>
            <w:r>
              <w:rPr>
                <w:rFonts w:cs="Arial"/>
                <w:b/>
                <w:bCs/>
                <w:sz w:val="22"/>
                <w:szCs w:val="22"/>
              </w:rPr>
              <w:t>1</w:t>
            </w:r>
          </w:p>
        </w:tc>
        <w:tc>
          <w:tcPr>
            <w:tcW w:w="1637" w:type="dxa"/>
            <w:tcBorders/>
            <w:vAlign w:val="center"/>
          </w:tcPr>
          <w:p>
            <w:pPr>
              <w:pStyle w:val="Normal"/>
              <w:ind w:left="57"/>
              <w:jc w:val="center"/>
              <w:rPr>
                <w:sz w:val="22"/>
                <w:szCs w:val="22"/>
              </w:rPr>
            </w:pPr>
            <w:r>
              <w:rPr>
                <w:sz w:val="22"/>
                <w:szCs w:val="22"/>
              </w:rPr>
              <w:t>23.09.2025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Dalle origini alla Rus di Kiev – L’ “Orda d’ oro” e la prevalenza di Mosca – Ivan il Grande e Ivan il Terribile – L’ascesa dei Romanov – La Russia di Pietro il Grande e di Caterina II – La vittoria sull’ armata napoleonica e gli zar dell’età della Restaurazione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2</w:t>
            </w:r>
          </w:p>
        </w:tc>
        <w:tc>
          <w:tcPr>
            <w:tcW w:w="1637" w:type="dxa"/>
            <w:tcBorders/>
            <w:vAlign w:val="center"/>
          </w:tcPr>
          <w:p>
            <w:pPr>
              <w:pStyle w:val="Normal"/>
              <w:ind w:left="57"/>
              <w:jc w:val="center"/>
              <w:rPr>
                <w:sz w:val="22"/>
                <w:szCs w:val="22"/>
              </w:rPr>
            </w:pPr>
            <w:r>
              <w:rPr>
                <w:sz w:val="22"/>
                <w:szCs w:val="22"/>
              </w:rPr>
              <w:t>30.09.2025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 xml:space="preserve">Dalla Guerra di Crimea alla Prima Guerra mondiale: tensioni geopolitiche nello scacchiere europeo e con l’impero ottomano – la nascita dei partiti e dell’opposizione radicale (populismo, nichilismo, anarchismo) – La sconfitta nella guerra con il Giappone e la rivoluzione del 1905 – L’impero zarista alla vigilia della prima guerra mondiale </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3</w:t>
            </w:r>
          </w:p>
        </w:tc>
        <w:tc>
          <w:tcPr>
            <w:tcW w:w="1637" w:type="dxa"/>
            <w:tcBorders/>
            <w:vAlign w:val="center"/>
          </w:tcPr>
          <w:p>
            <w:pPr>
              <w:pStyle w:val="Normal"/>
              <w:ind w:left="57"/>
              <w:jc w:val="center"/>
              <w:rPr>
                <w:sz w:val="22"/>
                <w:szCs w:val="22"/>
              </w:rPr>
            </w:pPr>
            <w:r>
              <w:rPr>
                <w:sz w:val="22"/>
                <w:szCs w:val="22"/>
              </w:rPr>
              <w:t>07.10.2025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Il dramma della guerra, la caduta del regime zarista e il predominio del partito cadetto – La Rivoluzione bolscevica (dalle tesi di aprile all’assalto al Palazzo d’ inverno) – Gli effetti della rivoluzione: la pace di Brest Litovsk, la nuova struttura di potere, la guerra civile, la guerra russo polacca – La III Internazionale – Dal Comunismo di guerra alla NEP - Da Russia a URSS - Cenni alla politica internazionale.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4</w:t>
            </w:r>
          </w:p>
        </w:tc>
        <w:tc>
          <w:tcPr>
            <w:tcW w:w="1637" w:type="dxa"/>
            <w:tcBorders/>
            <w:vAlign w:val="center"/>
          </w:tcPr>
          <w:p>
            <w:pPr>
              <w:pStyle w:val="Normal"/>
              <w:jc w:val="center"/>
              <w:rPr>
                <w:sz w:val="22"/>
                <w:szCs w:val="22"/>
              </w:rPr>
            </w:pPr>
            <w:r>
              <w:rPr>
                <w:sz w:val="22"/>
                <w:szCs w:val="22"/>
              </w:rPr>
              <w:t>14.10.2025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La “successione di Lenin” e la vittoria di Stalin al XV Congresso - la svolta economica e i piani quinquennali (1928 – 1939) – Le grandi purghe del Partito e dell’esercito – la costituzione del 1936 – Politica estera: i “patti di non aggressione”, i “fronti popolari”, il patto “Ribbentropp – Molotov – La vittoria nella seconda guerra mondiale e il nuovo ordine europeo: Yalta, Postdam, la nascita delle “repubbliche popolari” - Il fronte asiatico: Cina e Corea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5</w:t>
            </w:r>
          </w:p>
        </w:tc>
        <w:tc>
          <w:tcPr>
            <w:tcW w:w="1637" w:type="dxa"/>
            <w:tcBorders/>
            <w:vAlign w:val="center"/>
          </w:tcPr>
          <w:p>
            <w:pPr>
              <w:pStyle w:val="Normal"/>
              <w:ind w:left="57"/>
              <w:jc w:val="center"/>
              <w:rPr>
                <w:sz w:val="22"/>
                <w:szCs w:val="22"/>
              </w:rPr>
            </w:pPr>
            <w:r>
              <w:rPr>
                <w:sz w:val="22"/>
                <w:szCs w:val="22"/>
              </w:rPr>
              <w:t>21.10.2025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La morte di Stalin e l’ascesa di Kruscev: destalinizzazione, ma repressione della rivolta ungherese e “muro di Berlino”; sfida e confronto con gli Usa (incontro di Camp David e crisi di Cuba), allentamento della censura, nuovi piani quinquennali – Il ritorno della “vecchia guardia”: la “defenestrazione” di Kruscev e l’era di Breznev ed Andropov: cenni alla situazione economica e politica interna. Le difficoltà in politica estera: le rivolte nei paesi satelliti (Cecoslovacchia e Polonia) e la trappola dell’Afganistan.</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6</w:t>
            </w:r>
          </w:p>
        </w:tc>
        <w:tc>
          <w:tcPr>
            <w:tcW w:w="1637" w:type="dxa"/>
            <w:tcBorders/>
            <w:vAlign w:val="center"/>
          </w:tcPr>
          <w:p>
            <w:pPr>
              <w:pStyle w:val="Normal"/>
              <w:ind w:left="57"/>
              <w:jc w:val="center"/>
              <w:rPr>
                <w:sz w:val="22"/>
                <w:szCs w:val="22"/>
                <w:lang w:val="de-DE"/>
              </w:rPr>
            </w:pPr>
            <w:r>
              <w:rPr>
                <w:sz w:val="22"/>
                <w:szCs w:val="22"/>
              </w:rPr>
              <w:t>28.10.2025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Gorbaciov – l’ascesa la potere  -  i criteri  su cui rimodellare il paese: perestroika e glasnost - le riforme nel settore agricolo ed industriale  e le relative criticità – il controllo del partito – lo scoppio delle nazionalità – politica estera: gli accordi con gli Usa, la chiusura della guerra in Afghanistan, l’intensificazione dei rapporti con l’ Europa -  La riunificazione di Berlino -  Il tandem  Gorbaciov – Eltsin e il problema della dissoluzione progressiva dell’ Urss- La formazione del CIS</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7</w:t>
            </w:r>
          </w:p>
        </w:tc>
        <w:tc>
          <w:tcPr>
            <w:tcW w:w="1637" w:type="dxa"/>
            <w:tcBorders/>
            <w:vAlign w:val="center"/>
          </w:tcPr>
          <w:p>
            <w:pPr>
              <w:pStyle w:val="Normal"/>
              <w:ind w:left="57"/>
              <w:jc w:val="center"/>
              <w:rPr>
                <w:sz w:val="22"/>
                <w:szCs w:val="22"/>
              </w:rPr>
            </w:pPr>
            <w:r>
              <w:rPr>
                <w:sz w:val="22"/>
                <w:szCs w:val="22"/>
              </w:rPr>
              <w:t>04.11.2025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Eltsin – una scelta simbolica: niente più “falce e martello, ma aquila bicipite” – La riforma istituzionale – privatizzazioni e nuovi magnati – una nuova grave crisi economica – Il potere passa a Putin – App: Guerre postsovietiche in Russia e nei paesi di influenza sovietica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8</w:t>
            </w:r>
          </w:p>
        </w:tc>
        <w:tc>
          <w:tcPr>
            <w:tcW w:w="1637" w:type="dxa"/>
            <w:tcBorders/>
            <w:vAlign w:val="center"/>
          </w:tcPr>
          <w:p>
            <w:pPr>
              <w:pStyle w:val="Normal"/>
              <w:ind w:left="57"/>
              <w:jc w:val="center"/>
              <w:rPr>
                <w:sz w:val="22"/>
                <w:szCs w:val="22"/>
              </w:rPr>
            </w:pPr>
            <w:r>
              <w:rPr>
                <w:sz w:val="22"/>
                <w:szCs w:val="22"/>
              </w:rPr>
              <w:t>11.11.2025</w:t>
            </w:r>
          </w:p>
        </w:tc>
        <w:tc>
          <w:tcPr>
            <w:tcW w:w="7489" w:type="dxa"/>
            <w:tcBorders/>
            <w:vAlign w:val="center"/>
          </w:tcPr>
          <w:p>
            <w:pPr>
              <w:pStyle w:val="Normal"/>
              <w:widowControl/>
              <w:spacing w:lineRule="auto" w:line="240" w:before="0" w:after="0"/>
              <w:jc w:val="left"/>
              <w:rPr>
                <w:rFonts w:ascii="Calibri" w:hAnsi="Calibri" w:eastAsia="Calibri" w:cs=""/>
                <w:kern w:val="2"/>
                <w:sz w:val="22"/>
                <w:szCs w:val="22"/>
                <w:lang w:val="it-IT" w:eastAsia="en-US" w:bidi="ar-SA"/>
              </w:rPr>
            </w:pPr>
            <w:r>
              <w:rPr>
                <w:rFonts w:eastAsia="Calibri" w:cs="" w:ascii="Calibri" w:hAnsi="Calibri"/>
                <w:kern w:val="2"/>
                <w:sz w:val="22"/>
                <w:szCs w:val="22"/>
                <w:lang w:val="it-IT" w:eastAsia="en-US" w:bidi="ar-SA"/>
              </w:rPr>
              <w:t>Putin – Da “ragazzo di strada” ad agente del KGB presso la  Stasi – L’ ascesa politica dopo la caduta del muro di Berlino – da Primo Ministro a Presidente -   le 5 presidenze: linee di politica interna ed estera - approfondimenti: Cecenia, Georgia, Ucraina</w:t>
            </w:r>
          </w:p>
        </w:tc>
      </w:tr>
    </w:tbl>
    <w:p>
      <w:pPr>
        <w:pStyle w:val="Normal"/>
        <w:rPr>
          <w:b/>
          <w:sz w:val="24"/>
        </w:rPr>
      </w:pPr>
      <w:r>
        <w:rPr>
          <w:b/>
          <w:sz w:val="24"/>
        </w:rPr>
      </w:r>
    </w:p>
    <w:p>
      <w:pPr>
        <w:pStyle w:val="Normal"/>
        <w:rPr>
          <w:rFonts w:ascii="Times New Roman" w:hAnsi="Times New Roman"/>
        </w:rPr>
      </w:pPr>
      <w:r>
        <w:rPr>
          <w:rFonts w:ascii="Times New Roman" w:hAnsi="Times New Roman"/>
        </w:rPr>
      </w:r>
    </w:p>
    <w:p>
      <w:pPr>
        <w:pStyle w:val="Normal"/>
        <w:rPr>
          <w:b/>
          <w:sz w:val="24"/>
        </w:rPr>
      </w:pPr>
      <w:r>
        <w:rPr>
          <w:b/>
          <w:sz w:val="24"/>
        </w:rPr>
      </w:r>
    </w:p>
    <w:p>
      <w:pPr>
        <w:pStyle w:val="Normal"/>
        <w:rPr>
          <w:b/>
          <w:sz w:val="24"/>
        </w:rPr>
      </w:pPr>
      <w:r>
        <w:rPr>
          <w:b/>
          <w:sz w:val="24"/>
        </w:rPr>
      </w:r>
    </w:p>
    <w:p>
      <w:pPr>
        <w:pStyle w:val="Normal"/>
        <w:rPr>
          <w:sz w:val="22"/>
          <w:szCs w:val="22"/>
        </w:rPr>
      </w:pPr>
      <w:r>
        <w:rPr>
          <w:sz w:val="22"/>
          <w:szCs w:val="22"/>
        </w:rPr>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elite">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8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suppressAutoHyphens w:val="true"/>
      <w:bidi w:val="0"/>
      <w:spacing w:lineRule="auto" w:line="240" w:before="0" w:after="0"/>
      <w:jc w:val="left"/>
    </w:pPr>
    <w:rPr>
      <w:rFonts w:ascii="Arial" w:hAnsi="Arial" w:eastAsia="Times New Roman" w:cs="Times New Roman"/>
      <w:color w:val="auto"/>
      <w:kern w:val="0"/>
      <w:sz w:val="28"/>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STONORMALE" w:customStyle="1">
    <w:name w:val="TESTO NORMALE"/>
    <w:qFormat/>
    <w:rsid w:val="00ce0e41"/>
    <w:pPr>
      <w:widowControl/>
      <w:suppressAutoHyphens w:val="true"/>
      <w:bidi w:val="0"/>
      <w:spacing w:lineRule="atLeast" w:line="360" w:before="240" w:after="0"/>
      <w:jc w:val="both"/>
    </w:pPr>
    <w:rPr>
      <w:rFonts w:ascii="elite" w:hAnsi="elite" w:eastAsia="Times New Roman" w:cs="Times New Roman"/>
      <w:color w:val="auto"/>
      <w:kern w:val="0"/>
      <w:sz w:val="20"/>
      <w:szCs w:val="20"/>
      <w:lang w:val="it-IT" w:eastAsia="it-IT" w:bidi="ar-SA"/>
    </w:rPr>
  </w:style>
  <w:style w:type="paragraph" w:styleId="Corpo" w:customStyle="1">
    <w:name w:val="Corpo"/>
    <w:qFormat/>
    <w:rsid w:val="00ce0e41"/>
    <w:pPr>
      <w:widowControl/>
      <w:suppressAutoHyphens w:val="true"/>
      <w:bidi w:val="0"/>
      <w:spacing w:lineRule="auto" w:line="240" w:before="0" w:after="0"/>
      <w:jc w:val="left"/>
    </w:pPr>
    <w:rPr>
      <w:rFonts w:ascii="Helvetica" w:hAnsi="Helvetica" w:eastAsia="Arial Unicode MS" w:cs="Arial Unicode MS"/>
      <w:color w:val="000000"/>
      <w:kern w:val="0"/>
      <w:sz w:val="22"/>
      <w:szCs w:val="22"/>
      <w:lang w:val="it-IT" w:eastAsia="it-IT" w:bidi="ar-SA"/>
    </w:rPr>
  </w:style>
  <w:style w:type="paragraph" w:styleId="Intestazioneepidipagina">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NoSpacing">
    <w:name w:val="No Spacing"/>
    <w:uiPriority w:val="1"/>
    <w:qFormat/>
    <w:rsid w:val="004b2ea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LibreOffice/24.2.3.2$Windows_X86_64 LibreOffice_project/433d9c2ded56988e8a90e6b2e771ee4e6a5ab2ba</Application>
  <AppVersion>15.0000</AppVersion>
  <Pages>2</Pages>
  <Words>664</Words>
  <Characters>3617</Characters>
  <CharactersWithSpaces>4351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2025-05-13T22:27:00Z</dcterms:created>
  <dc:creator>Carmen Quadri</dc:creator>
  <dc:description/>
  <dc:language>it-IT</dc:language>
  <cp:lastModifiedBy/>
  <dcterms:modified xsi:type="dcterms:W3CDTF">2025-07-17T17:18:48Z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