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6D82" w14:textId="77777777" w:rsidR="00E45960" w:rsidRDefault="00E45960" w:rsidP="00E45960">
      <w:pPr>
        <w:rPr>
          <w:b/>
          <w:bCs/>
          <w:sz w:val="24"/>
          <w:szCs w:val="24"/>
        </w:rPr>
      </w:pPr>
      <w:r>
        <w:rPr>
          <w:b/>
          <w:bCs/>
          <w:sz w:val="24"/>
          <w:szCs w:val="24"/>
        </w:rPr>
        <w:t>L’ ACCELERATA ESPANSIONE COLONIALE DELLA FASE IMPERIALISTICA</w:t>
      </w:r>
    </w:p>
    <w:p w14:paraId="1CFFE9DF" w14:textId="77777777" w:rsidR="00E45960" w:rsidRPr="001F3AE2" w:rsidRDefault="00E45960" w:rsidP="00E45960">
      <w:pPr>
        <w:rPr>
          <w:b/>
          <w:bCs/>
          <w:sz w:val="24"/>
          <w:szCs w:val="24"/>
        </w:rPr>
      </w:pPr>
      <w:r>
        <w:rPr>
          <w:sz w:val="24"/>
          <w:szCs w:val="24"/>
        </w:rPr>
        <w:t xml:space="preserve">L’Inghilterra, come si vede, era stata immune dalle tensioni che avevano caratterizzato l’Europa dopo il Congresso di Vienna. Negli anni 20 il suo unico intervento significativo era stata la battaglia di Navarino e nel 1854 la Guerra di Crimea. Aveva prevalentemente assistito alle convulsioni della Francia e dell’Austria, all’ ascesa della Prussia, alla nascita del Regno d’ Italia alle guerre russo -turche facendo sentire il suo peso, ma intervenendo prevalentemente sul piano diplomatico. </w:t>
      </w:r>
      <w:r w:rsidRPr="001F3AE2">
        <w:rPr>
          <w:b/>
          <w:bCs/>
          <w:sz w:val="24"/>
          <w:szCs w:val="24"/>
        </w:rPr>
        <w:t>Ben più impegnata si era dimostrata nella sua penetrazione coloniale in Asia e in Africa che subirà un’ulteriore accelerazione dopo la Conferenza di Berlino del 1878 dove fu l’Africa ad essere concordemente individuata dalle potenze occidentali come luogo aperto di conquista.</w:t>
      </w:r>
    </w:p>
    <w:p w14:paraId="20BBDB18" w14:textId="77777777" w:rsidR="00E45960" w:rsidRPr="005F4E2A" w:rsidRDefault="00E45960" w:rsidP="00E45960">
      <w:pPr>
        <w:rPr>
          <w:b/>
          <w:bCs/>
          <w:sz w:val="24"/>
          <w:szCs w:val="24"/>
        </w:rPr>
      </w:pPr>
      <w:r w:rsidRPr="005F4E2A">
        <w:rPr>
          <w:b/>
          <w:bCs/>
          <w:sz w:val="24"/>
          <w:szCs w:val="24"/>
        </w:rPr>
        <w:t xml:space="preserve">La penetrazione inglese in </w:t>
      </w:r>
      <w:r>
        <w:rPr>
          <w:b/>
          <w:bCs/>
          <w:sz w:val="24"/>
          <w:szCs w:val="24"/>
        </w:rPr>
        <w:t>A</w:t>
      </w:r>
      <w:r w:rsidRPr="005F4E2A">
        <w:rPr>
          <w:b/>
          <w:bCs/>
          <w:sz w:val="24"/>
          <w:szCs w:val="24"/>
        </w:rPr>
        <w:t xml:space="preserve">frica: </w:t>
      </w:r>
      <w:r>
        <w:rPr>
          <w:b/>
          <w:bCs/>
          <w:sz w:val="24"/>
          <w:szCs w:val="24"/>
        </w:rPr>
        <w:t>E</w:t>
      </w:r>
      <w:r w:rsidRPr="005F4E2A">
        <w:rPr>
          <w:b/>
          <w:bCs/>
          <w:sz w:val="24"/>
          <w:szCs w:val="24"/>
        </w:rPr>
        <w:t xml:space="preserve">gitto, </w:t>
      </w:r>
      <w:r>
        <w:rPr>
          <w:b/>
          <w:bCs/>
          <w:sz w:val="24"/>
          <w:szCs w:val="24"/>
        </w:rPr>
        <w:t>S</w:t>
      </w:r>
      <w:r w:rsidRPr="005F4E2A">
        <w:rPr>
          <w:b/>
          <w:bCs/>
          <w:sz w:val="24"/>
          <w:szCs w:val="24"/>
        </w:rPr>
        <w:t xml:space="preserve">udan, </w:t>
      </w:r>
      <w:r>
        <w:rPr>
          <w:b/>
          <w:bCs/>
          <w:sz w:val="24"/>
          <w:szCs w:val="24"/>
        </w:rPr>
        <w:t>S</w:t>
      </w:r>
      <w:r w:rsidRPr="005F4E2A">
        <w:rPr>
          <w:b/>
          <w:bCs/>
          <w:sz w:val="24"/>
          <w:szCs w:val="24"/>
        </w:rPr>
        <w:t>omalia</w:t>
      </w:r>
    </w:p>
    <w:p w14:paraId="61D0DB58" w14:textId="61BA1FDF" w:rsidR="00E45960" w:rsidRPr="00793DC2" w:rsidRDefault="00E45960" w:rsidP="00E45960">
      <w:pPr>
        <w:pStyle w:val="Nessunaspaziatura"/>
        <w:rPr>
          <w:sz w:val="24"/>
          <w:szCs w:val="24"/>
        </w:rPr>
      </w:pPr>
      <w:r w:rsidRPr="00793DC2">
        <w:rPr>
          <w:sz w:val="24"/>
          <w:szCs w:val="24"/>
        </w:rPr>
        <w:t xml:space="preserve">La prima mossa inglese in terra africana fu l’acquisto di circa la metà delle azioni del canale di Suez </w:t>
      </w:r>
      <w:r w:rsidRPr="00793DC2">
        <w:rPr>
          <w:b/>
          <w:bCs/>
          <w:sz w:val="24"/>
          <w:szCs w:val="24"/>
        </w:rPr>
        <w:t>inaugurato il 17 novembre del 1869</w:t>
      </w:r>
      <w:r w:rsidRPr="00793DC2">
        <w:rPr>
          <w:sz w:val="24"/>
          <w:szCs w:val="24"/>
        </w:rPr>
        <w:t xml:space="preserve"> e realizzato in 10 anni da </w:t>
      </w:r>
      <w:r w:rsidRPr="00793DC2">
        <w:rPr>
          <w:b/>
          <w:bCs/>
          <w:sz w:val="24"/>
          <w:szCs w:val="24"/>
        </w:rPr>
        <w:t>Ferdinand Lesseps</w:t>
      </w:r>
      <w:r w:rsidRPr="00793DC2">
        <w:rPr>
          <w:sz w:val="24"/>
          <w:szCs w:val="24"/>
        </w:rPr>
        <w:t xml:space="preserve"> su progetto dell’ingegnere italiano </w:t>
      </w:r>
      <w:r w:rsidRPr="00793DC2">
        <w:rPr>
          <w:b/>
          <w:bCs/>
          <w:sz w:val="24"/>
          <w:szCs w:val="24"/>
        </w:rPr>
        <w:t>Luigi Negrelli</w:t>
      </w:r>
      <w:r w:rsidRPr="00793DC2">
        <w:rPr>
          <w:sz w:val="24"/>
          <w:szCs w:val="24"/>
        </w:rPr>
        <w:t>. Al finanziamento avevano concorso capitali di diverse nazioni</w:t>
      </w:r>
      <w:r w:rsidR="001F3AE2">
        <w:rPr>
          <w:sz w:val="24"/>
          <w:szCs w:val="24"/>
        </w:rPr>
        <w:t>,</w:t>
      </w:r>
      <w:r w:rsidRPr="00793DC2">
        <w:rPr>
          <w:sz w:val="24"/>
          <w:szCs w:val="24"/>
        </w:rPr>
        <w:t xml:space="preserve"> fra le quali</w:t>
      </w:r>
      <w:r w:rsidR="001F3AE2">
        <w:rPr>
          <w:sz w:val="24"/>
          <w:szCs w:val="24"/>
        </w:rPr>
        <w:t>,</w:t>
      </w:r>
      <w:r w:rsidRPr="00793DC2">
        <w:rPr>
          <w:sz w:val="24"/>
          <w:szCs w:val="24"/>
        </w:rPr>
        <w:t xml:space="preserve"> in particolare</w:t>
      </w:r>
      <w:r w:rsidR="001F3AE2">
        <w:rPr>
          <w:sz w:val="24"/>
          <w:szCs w:val="24"/>
        </w:rPr>
        <w:t>,</w:t>
      </w:r>
      <w:r w:rsidRPr="00793DC2">
        <w:rPr>
          <w:sz w:val="24"/>
          <w:szCs w:val="24"/>
        </w:rPr>
        <w:t xml:space="preserve"> Francia ed Inghilterra. </w:t>
      </w:r>
    </w:p>
    <w:p w14:paraId="247B9E94" w14:textId="5BF81BA6" w:rsidR="00E45960" w:rsidRPr="00793DC2" w:rsidRDefault="00E45960" w:rsidP="00E45960">
      <w:pPr>
        <w:pStyle w:val="Nessunaspaziatura"/>
        <w:rPr>
          <w:sz w:val="24"/>
          <w:szCs w:val="24"/>
        </w:rPr>
      </w:pPr>
      <w:r w:rsidRPr="00793DC2">
        <w:rPr>
          <w:sz w:val="24"/>
          <w:szCs w:val="24"/>
        </w:rPr>
        <w:t>Nel 1875, in seguito ad una grave crisi finanziaria dell’Egitto, l’amministrazione egiziana era stata posta sotto controllo di una commissione franco-inglese che</w:t>
      </w:r>
      <w:r w:rsidR="001F3AE2">
        <w:rPr>
          <w:sz w:val="24"/>
          <w:szCs w:val="24"/>
        </w:rPr>
        <w:t>,</w:t>
      </w:r>
      <w:r w:rsidRPr="00793DC2">
        <w:rPr>
          <w:sz w:val="24"/>
          <w:szCs w:val="24"/>
        </w:rPr>
        <w:t xml:space="preserve"> di fatto</w:t>
      </w:r>
      <w:r w:rsidR="001F3AE2">
        <w:rPr>
          <w:sz w:val="24"/>
          <w:szCs w:val="24"/>
        </w:rPr>
        <w:t>,</w:t>
      </w:r>
      <w:r w:rsidRPr="00793DC2">
        <w:rPr>
          <w:sz w:val="24"/>
          <w:szCs w:val="24"/>
        </w:rPr>
        <w:t xml:space="preserve"> aveva assunto il controllo del Paese. Nel 1882 un ufficiale dell’esercito egiziano, </w:t>
      </w:r>
      <w:r w:rsidRPr="00793DC2">
        <w:rPr>
          <w:b/>
          <w:bCs/>
          <w:sz w:val="24"/>
          <w:szCs w:val="24"/>
        </w:rPr>
        <w:t>Ahamad Orabi (Arabi Pascià)</w:t>
      </w:r>
      <w:r w:rsidRPr="00793DC2">
        <w:rPr>
          <w:sz w:val="24"/>
          <w:szCs w:val="24"/>
        </w:rPr>
        <w:t xml:space="preserve"> si ammutinò e diede inizio ad un colpo di stato conto il chedivè d‘ Egitto e Sudan motivandolo con l’opposizione all’ingerenza franco-britannica nella gestione delle finanze egiziane. </w:t>
      </w:r>
      <w:r w:rsidRPr="00793DC2">
        <w:rPr>
          <w:b/>
          <w:bCs/>
          <w:sz w:val="24"/>
          <w:szCs w:val="24"/>
        </w:rPr>
        <w:t>Il 20 maggio sulla costa di Alessandria si presentò una flotta franco-inglese, mentre in città una rivolta xenofoba provocava la morte di 50 cittadini stranieri. La flotta francese si ritirò, non quella inglese</w:t>
      </w:r>
      <w:r w:rsidR="001F3AE2">
        <w:rPr>
          <w:b/>
          <w:bCs/>
          <w:sz w:val="24"/>
          <w:szCs w:val="24"/>
        </w:rPr>
        <w:t>,</w:t>
      </w:r>
      <w:r w:rsidRPr="00793DC2">
        <w:rPr>
          <w:b/>
          <w:bCs/>
          <w:sz w:val="24"/>
          <w:szCs w:val="24"/>
        </w:rPr>
        <w:t xml:space="preserve"> che bombardò per 10 ore e mezz</w:t>
      </w:r>
      <w:r w:rsidR="001F3AE2">
        <w:rPr>
          <w:b/>
          <w:bCs/>
          <w:sz w:val="24"/>
          <w:szCs w:val="24"/>
        </w:rPr>
        <w:t>o</w:t>
      </w:r>
      <w:r w:rsidRPr="00793DC2">
        <w:rPr>
          <w:b/>
          <w:bCs/>
          <w:sz w:val="24"/>
          <w:szCs w:val="24"/>
        </w:rPr>
        <w:t xml:space="preserve"> Alessandria. </w:t>
      </w:r>
      <w:r w:rsidRPr="00793DC2">
        <w:rPr>
          <w:sz w:val="24"/>
          <w:szCs w:val="24"/>
        </w:rPr>
        <w:t xml:space="preserve">Seguì l’occupazione della città da parte dei marines. La successiva battagli di </w:t>
      </w:r>
      <w:r w:rsidRPr="00793DC2">
        <w:rPr>
          <w:b/>
          <w:bCs/>
          <w:sz w:val="24"/>
          <w:szCs w:val="24"/>
        </w:rPr>
        <w:t>Tell El Kebir</w:t>
      </w:r>
      <w:r w:rsidRPr="00793DC2">
        <w:rPr>
          <w:sz w:val="24"/>
          <w:szCs w:val="24"/>
        </w:rPr>
        <w:t xml:space="preserve"> sanciva la sconfitta dell’esercito di Orabi che sarebbe stato successivamente processato ed esiliato. Da quel momento in Egitto, seppur ufficialmente governato dal Chedivè e dal suo Consiglio dei Ministri, il potere </w:t>
      </w:r>
      <w:r w:rsidR="001F3AE2">
        <w:rPr>
          <w:sz w:val="24"/>
          <w:szCs w:val="24"/>
        </w:rPr>
        <w:t>fu</w:t>
      </w:r>
      <w:r w:rsidRPr="00793DC2">
        <w:rPr>
          <w:sz w:val="24"/>
          <w:szCs w:val="24"/>
        </w:rPr>
        <w:t xml:space="preserve"> esercitato dal Console Generale Britannico ed anche l’esercito v</w:t>
      </w:r>
      <w:r w:rsidR="001F3AE2">
        <w:rPr>
          <w:sz w:val="24"/>
          <w:szCs w:val="24"/>
        </w:rPr>
        <w:t>enne</w:t>
      </w:r>
      <w:r w:rsidRPr="00793DC2">
        <w:rPr>
          <w:sz w:val="24"/>
          <w:szCs w:val="24"/>
        </w:rPr>
        <w:t xml:space="preserve"> riorganizzato su modello di quello britannico e comandato da ufficiali inglesi.  Nel frattempo era scoppiata anche una </w:t>
      </w:r>
      <w:r w:rsidRPr="00793DC2">
        <w:rPr>
          <w:b/>
          <w:bCs/>
          <w:sz w:val="24"/>
          <w:szCs w:val="24"/>
        </w:rPr>
        <w:t>rivolta in Sudan</w:t>
      </w:r>
      <w:r w:rsidRPr="00793DC2">
        <w:rPr>
          <w:sz w:val="24"/>
          <w:szCs w:val="24"/>
        </w:rPr>
        <w:t xml:space="preserve"> guidata dal </w:t>
      </w:r>
      <w:r w:rsidRPr="001F3AE2">
        <w:rPr>
          <w:b/>
          <w:bCs/>
          <w:sz w:val="24"/>
          <w:szCs w:val="24"/>
        </w:rPr>
        <w:t>Mahadi</w:t>
      </w:r>
      <w:r w:rsidRPr="00793DC2">
        <w:rPr>
          <w:sz w:val="24"/>
          <w:szCs w:val="24"/>
        </w:rPr>
        <w:t xml:space="preserve"> ed organizzata dal movimento dei </w:t>
      </w:r>
      <w:proofErr w:type="spellStart"/>
      <w:r w:rsidRPr="001F3AE2">
        <w:rPr>
          <w:b/>
          <w:bCs/>
          <w:sz w:val="24"/>
          <w:szCs w:val="24"/>
        </w:rPr>
        <w:t>Dervischi</w:t>
      </w:r>
      <w:proofErr w:type="spellEnd"/>
      <w:r w:rsidRPr="001F3AE2">
        <w:rPr>
          <w:b/>
          <w:bCs/>
          <w:sz w:val="24"/>
          <w:szCs w:val="24"/>
        </w:rPr>
        <w:t xml:space="preserve"> </w:t>
      </w:r>
      <w:r w:rsidRPr="00793DC2">
        <w:rPr>
          <w:sz w:val="24"/>
          <w:szCs w:val="24"/>
        </w:rPr>
        <w:t xml:space="preserve">in lotta contro il dominio egiziano. Gli inglesi, divenuti padroni dell’Egitto, si trovarono ipso facto impegnati in questo secondo conflitto che inizialmente segnato dalla sconfitta delle forze britanniche a </w:t>
      </w:r>
      <w:proofErr w:type="spellStart"/>
      <w:r w:rsidRPr="00793DC2">
        <w:rPr>
          <w:b/>
          <w:bCs/>
          <w:sz w:val="24"/>
          <w:szCs w:val="24"/>
        </w:rPr>
        <w:t>Kartum</w:t>
      </w:r>
      <w:proofErr w:type="spellEnd"/>
      <w:r w:rsidRPr="00793DC2">
        <w:rPr>
          <w:b/>
          <w:bCs/>
          <w:sz w:val="24"/>
          <w:szCs w:val="24"/>
        </w:rPr>
        <w:t xml:space="preserve"> (1884-85)</w:t>
      </w:r>
      <w:r w:rsidRPr="00793DC2">
        <w:rPr>
          <w:sz w:val="24"/>
          <w:szCs w:val="24"/>
        </w:rPr>
        <w:t xml:space="preserve"> e dall’instaurazione in Sudan di un governo caratterizzato da una forte impronta religiosa, si sarebbe concluso con la conquista inglese del Sudan nel 1898 e la </w:t>
      </w:r>
      <w:r w:rsidRPr="001F3AE2">
        <w:rPr>
          <w:b/>
          <w:bCs/>
          <w:sz w:val="24"/>
          <w:szCs w:val="24"/>
        </w:rPr>
        <w:t>trasformazione di Egitto e Sudan in Protettorati</w:t>
      </w:r>
      <w:r w:rsidRPr="00793DC2">
        <w:rPr>
          <w:sz w:val="24"/>
          <w:szCs w:val="24"/>
        </w:rPr>
        <w:t xml:space="preserve">. </w:t>
      </w:r>
    </w:p>
    <w:p w14:paraId="357F64EA" w14:textId="77777777" w:rsidR="00E45960" w:rsidRDefault="00E45960" w:rsidP="00E45960">
      <w:pPr>
        <w:pStyle w:val="Nessunaspaziatura"/>
      </w:pPr>
      <w:r w:rsidRPr="00793DC2">
        <w:rPr>
          <w:sz w:val="24"/>
          <w:szCs w:val="24"/>
        </w:rPr>
        <w:t xml:space="preserve">Nello stesso anno della sconfitta subita a </w:t>
      </w:r>
      <w:proofErr w:type="spellStart"/>
      <w:r w:rsidRPr="00793DC2">
        <w:rPr>
          <w:sz w:val="24"/>
          <w:szCs w:val="24"/>
        </w:rPr>
        <w:t>Kartum</w:t>
      </w:r>
      <w:proofErr w:type="spellEnd"/>
      <w:r w:rsidRPr="00793DC2">
        <w:rPr>
          <w:sz w:val="24"/>
          <w:szCs w:val="24"/>
        </w:rPr>
        <w:t xml:space="preserve">, l’Inghilterra costituiva il primo nucleo della </w:t>
      </w:r>
      <w:r w:rsidRPr="00793DC2">
        <w:rPr>
          <w:b/>
          <w:bCs/>
          <w:sz w:val="24"/>
          <w:szCs w:val="24"/>
        </w:rPr>
        <w:t>Somalia Britannica</w:t>
      </w:r>
      <w:r w:rsidRPr="00793DC2">
        <w:rPr>
          <w:sz w:val="24"/>
          <w:szCs w:val="24"/>
        </w:rPr>
        <w:t xml:space="preserve"> e nel 1885 le potenze internazionali riconoscevano alla Gran Bretagna una propria sfera di influenza in </w:t>
      </w:r>
      <w:r w:rsidRPr="00793DC2">
        <w:rPr>
          <w:b/>
          <w:bCs/>
          <w:sz w:val="24"/>
          <w:szCs w:val="24"/>
        </w:rPr>
        <w:t xml:space="preserve">Nigeria </w:t>
      </w:r>
      <w:r w:rsidRPr="00793DC2">
        <w:rPr>
          <w:sz w:val="24"/>
          <w:szCs w:val="24"/>
        </w:rPr>
        <w:t xml:space="preserve">che veniva esercitata già l’anno successivo dalla </w:t>
      </w:r>
      <w:r w:rsidRPr="00793DC2">
        <w:rPr>
          <w:b/>
          <w:bCs/>
          <w:sz w:val="24"/>
          <w:szCs w:val="24"/>
        </w:rPr>
        <w:t>Royal Niger Company.</w:t>
      </w:r>
      <w:r w:rsidRPr="00793DC2">
        <w:rPr>
          <w:sz w:val="24"/>
          <w:szCs w:val="24"/>
        </w:rPr>
        <w:t xml:space="preserve"> </w:t>
      </w:r>
    </w:p>
    <w:p w14:paraId="734F33FB" w14:textId="3BDD885C" w:rsidR="00E45960" w:rsidRDefault="00E45960" w:rsidP="00E45960">
      <w:pPr>
        <w:rPr>
          <w:sz w:val="24"/>
          <w:szCs w:val="24"/>
        </w:rPr>
      </w:pPr>
      <w:r>
        <w:rPr>
          <w:sz w:val="24"/>
          <w:szCs w:val="24"/>
        </w:rPr>
        <w:t xml:space="preserve"> Si apriva poi un’altra partita in </w:t>
      </w:r>
      <w:r w:rsidRPr="00793DC2">
        <w:rPr>
          <w:b/>
          <w:bCs/>
          <w:sz w:val="24"/>
          <w:szCs w:val="24"/>
        </w:rPr>
        <w:t>Sud – Africa</w:t>
      </w:r>
      <w:r>
        <w:rPr>
          <w:sz w:val="24"/>
          <w:szCs w:val="24"/>
        </w:rPr>
        <w:t xml:space="preserve">. Gli Inglesi, già in possesso della colonia del Capo (1814) avevano scacciato successivamente i </w:t>
      </w:r>
      <w:r w:rsidRPr="00793DC2">
        <w:rPr>
          <w:b/>
          <w:bCs/>
          <w:sz w:val="24"/>
          <w:szCs w:val="24"/>
        </w:rPr>
        <w:t>Boeri</w:t>
      </w:r>
      <w:r>
        <w:rPr>
          <w:sz w:val="24"/>
          <w:szCs w:val="24"/>
        </w:rPr>
        <w:t xml:space="preserve"> che avevano istituito a nord due repubbliche, l’</w:t>
      </w:r>
      <w:r w:rsidRPr="00793DC2">
        <w:rPr>
          <w:b/>
          <w:bCs/>
          <w:sz w:val="24"/>
          <w:szCs w:val="24"/>
        </w:rPr>
        <w:t xml:space="preserve">Orange </w:t>
      </w:r>
      <w:r>
        <w:rPr>
          <w:sz w:val="24"/>
          <w:szCs w:val="24"/>
        </w:rPr>
        <w:t xml:space="preserve">e il </w:t>
      </w:r>
      <w:r w:rsidRPr="00793DC2">
        <w:rPr>
          <w:b/>
          <w:bCs/>
          <w:sz w:val="24"/>
          <w:szCs w:val="24"/>
        </w:rPr>
        <w:t>Transvaal.</w:t>
      </w:r>
      <w:r>
        <w:rPr>
          <w:sz w:val="24"/>
          <w:szCs w:val="24"/>
        </w:rPr>
        <w:t xml:space="preserve"> La scoperta, nel 1867, di giacimenti di diamanti avevano accresciuto l’interesse degli Inglesi della madre patria e della colonia per questi territori. Londra decise di unire le colonie inglesi e quelle boere per contenere l’opposizione degli </w:t>
      </w:r>
      <w:r w:rsidR="001F3AE2">
        <w:rPr>
          <w:sz w:val="24"/>
          <w:szCs w:val="24"/>
        </w:rPr>
        <w:t>Z</w:t>
      </w:r>
      <w:r>
        <w:rPr>
          <w:sz w:val="24"/>
          <w:szCs w:val="24"/>
        </w:rPr>
        <w:t xml:space="preserve">ulu e sfruttare le risorse minerali. </w:t>
      </w:r>
      <w:r w:rsidRPr="00793DC2">
        <w:rPr>
          <w:b/>
          <w:bCs/>
          <w:sz w:val="24"/>
          <w:szCs w:val="24"/>
        </w:rPr>
        <w:t>Nel 1877 gli Zulu fecero pressione sulle frontiere del Transvaal</w:t>
      </w:r>
      <w:r>
        <w:rPr>
          <w:sz w:val="24"/>
          <w:szCs w:val="24"/>
        </w:rPr>
        <w:t xml:space="preserve">. Gli Inglesi ne approfittarono per occupare la Repubblica del Transvaal impegnandosi a sgombrarla non appena battuti gli Zulu, ma una volta sconfitti questi ultimi, mantennero l’occupazione. Scoppiò, allora </w:t>
      </w:r>
      <w:r>
        <w:rPr>
          <w:sz w:val="24"/>
          <w:szCs w:val="24"/>
        </w:rPr>
        <w:lastRenderedPageBreak/>
        <w:t xml:space="preserve">(1881) la </w:t>
      </w:r>
      <w:r w:rsidRPr="00793DC2">
        <w:rPr>
          <w:b/>
          <w:bCs/>
          <w:sz w:val="24"/>
          <w:szCs w:val="24"/>
        </w:rPr>
        <w:t xml:space="preserve">prima guerra anglo-boera </w:t>
      </w:r>
      <w:r>
        <w:rPr>
          <w:sz w:val="24"/>
          <w:szCs w:val="24"/>
        </w:rPr>
        <w:t xml:space="preserve">che vide la sconfitta dell’Inghilterra e la firma della </w:t>
      </w:r>
      <w:r w:rsidRPr="00793DC2">
        <w:rPr>
          <w:b/>
          <w:bCs/>
          <w:sz w:val="24"/>
          <w:szCs w:val="24"/>
        </w:rPr>
        <w:t>Convenzione di Pretoria</w:t>
      </w:r>
      <w:r>
        <w:rPr>
          <w:sz w:val="24"/>
          <w:szCs w:val="24"/>
        </w:rPr>
        <w:t xml:space="preserve"> che assicurava al Transvaal “</w:t>
      </w:r>
      <w:r w:rsidRPr="00793DC2">
        <w:rPr>
          <w:b/>
          <w:bCs/>
          <w:sz w:val="24"/>
          <w:szCs w:val="24"/>
        </w:rPr>
        <w:t>autonomia completa nel rispetto della sovranità di sua maestà britannica</w:t>
      </w:r>
      <w:r>
        <w:rPr>
          <w:sz w:val="24"/>
          <w:szCs w:val="24"/>
        </w:rPr>
        <w:t xml:space="preserve">”. Ma nel 1886 in un’area del Transvaal vennero scoperte miniere d’oro.  I rapporti fra Transvaal e Colonia del Capo si fecero sempre più tesi; il Transvaal si alleò con lo stato libero d’ Orange e nel 1899 dichiararono guerra alla Colonia del Capo. Dopo alcune sconfitte gli Inglesi ebbero la meglio e le due repubbliche dell’Orange e del Transvaal divennero colonie inglesi. Negli stessi anni, dopo gli accordi raggiunti nella Conferenza di Berlino (1874) si muovano alla conquista dell’Africa la Francia, la Germania, l’Italia, il Belgio. </w:t>
      </w:r>
    </w:p>
    <w:p w14:paraId="408A0F42" w14:textId="77777777" w:rsidR="00E45960" w:rsidRPr="00E37520" w:rsidRDefault="00E45960" w:rsidP="00E45960">
      <w:pPr>
        <w:rPr>
          <w:b/>
          <w:bCs/>
          <w:sz w:val="24"/>
          <w:szCs w:val="24"/>
        </w:rPr>
      </w:pPr>
      <w:r w:rsidRPr="00E37520">
        <w:rPr>
          <w:b/>
          <w:bCs/>
          <w:sz w:val="24"/>
          <w:szCs w:val="24"/>
        </w:rPr>
        <w:t>L’ESPANSIONE IN ASIA</w:t>
      </w:r>
    </w:p>
    <w:p w14:paraId="0B78202F" w14:textId="77777777" w:rsidR="00E45960" w:rsidRDefault="00E45960" w:rsidP="00E45960">
      <w:pPr>
        <w:rPr>
          <w:sz w:val="24"/>
          <w:szCs w:val="24"/>
        </w:rPr>
      </w:pPr>
      <w:r>
        <w:rPr>
          <w:sz w:val="24"/>
          <w:szCs w:val="24"/>
        </w:rPr>
        <w:t xml:space="preserve">Intorno agli anni ’80 in Asia gli Inglesi possedevano oltre alla maggior parte dell’India (Goa era ancora Portoghese, </w:t>
      </w:r>
      <w:proofErr w:type="spellStart"/>
      <w:r>
        <w:rPr>
          <w:sz w:val="24"/>
          <w:szCs w:val="24"/>
        </w:rPr>
        <w:t>Ponchery</w:t>
      </w:r>
      <w:proofErr w:type="spellEnd"/>
      <w:r>
        <w:rPr>
          <w:sz w:val="24"/>
          <w:szCs w:val="24"/>
        </w:rPr>
        <w:t xml:space="preserve"> ancora francese), </w:t>
      </w:r>
      <w:r w:rsidRPr="00793DC2">
        <w:rPr>
          <w:b/>
          <w:bCs/>
          <w:sz w:val="24"/>
          <w:szCs w:val="24"/>
        </w:rPr>
        <w:t>Ceylon, Hong Kong, Singapore e numerose basi nell’Oceano Indiano.</w:t>
      </w:r>
      <w:r>
        <w:rPr>
          <w:sz w:val="24"/>
          <w:szCs w:val="24"/>
        </w:rPr>
        <w:t xml:space="preserve"> Tra il 1885 e il 1887 l’Inghilterra procedette ad occupare </w:t>
      </w:r>
      <w:r w:rsidRPr="00793DC2">
        <w:rPr>
          <w:b/>
          <w:bCs/>
          <w:sz w:val="24"/>
          <w:szCs w:val="24"/>
        </w:rPr>
        <w:t>il Regno di Birmania</w:t>
      </w:r>
      <w:r>
        <w:rPr>
          <w:sz w:val="24"/>
          <w:szCs w:val="24"/>
        </w:rPr>
        <w:t xml:space="preserve"> e con la Francia, impegnata all’occupazione dell’Indocina, raggiunse l’accordo di mantenere indipendente il </w:t>
      </w:r>
      <w:r w:rsidRPr="00793DC2">
        <w:rPr>
          <w:b/>
          <w:bCs/>
          <w:sz w:val="24"/>
          <w:szCs w:val="24"/>
        </w:rPr>
        <w:t xml:space="preserve">Siam </w:t>
      </w:r>
      <w:r>
        <w:rPr>
          <w:sz w:val="24"/>
          <w:szCs w:val="24"/>
        </w:rPr>
        <w:t>come “</w:t>
      </w:r>
      <w:r w:rsidRPr="00793DC2">
        <w:rPr>
          <w:i/>
          <w:iCs/>
          <w:sz w:val="24"/>
          <w:szCs w:val="24"/>
        </w:rPr>
        <w:t>Stato-cuscinetto</w:t>
      </w:r>
      <w:r>
        <w:rPr>
          <w:sz w:val="24"/>
          <w:szCs w:val="24"/>
        </w:rPr>
        <w:t xml:space="preserve">”. </w:t>
      </w:r>
    </w:p>
    <w:p w14:paraId="1A777050" w14:textId="08EF548A" w:rsidR="00E45960" w:rsidRDefault="00E45960" w:rsidP="00E45960">
      <w:pPr>
        <w:rPr>
          <w:sz w:val="24"/>
          <w:szCs w:val="24"/>
        </w:rPr>
      </w:pPr>
      <w:r>
        <w:rPr>
          <w:sz w:val="24"/>
          <w:szCs w:val="24"/>
        </w:rPr>
        <w:t xml:space="preserve">In Asia centrale a creare </w:t>
      </w:r>
      <w:r w:rsidRPr="00793DC2">
        <w:rPr>
          <w:b/>
          <w:bCs/>
          <w:sz w:val="24"/>
          <w:szCs w:val="24"/>
        </w:rPr>
        <w:t>frizioni fra Inghilterra e Russia</w:t>
      </w:r>
      <w:r>
        <w:rPr>
          <w:sz w:val="24"/>
          <w:szCs w:val="24"/>
        </w:rPr>
        <w:t xml:space="preserve"> era tutta </w:t>
      </w:r>
      <w:r w:rsidRPr="00793DC2">
        <w:rPr>
          <w:b/>
          <w:bCs/>
          <w:sz w:val="24"/>
          <w:szCs w:val="24"/>
        </w:rPr>
        <w:t>l’area compresa fra il Turchestan incamerato dai russi fra il 1876 e il 1885, il Regno di Afghanistan e il Pakistan settentrionale</w:t>
      </w:r>
      <w:r>
        <w:rPr>
          <w:sz w:val="24"/>
          <w:szCs w:val="24"/>
        </w:rPr>
        <w:t>. Russia e Gran Bretagna si fronteggiarono a lungo in una sorta di guerra per procura condotta dalle tribù locali. Nel 1885 giunsero ad un accordo che definiva la frontier</w:t>
      </w:r>
      <w:r w:rsidR="001F3AE2">
        <w:rPr>
          <w:sz w:val="24"/>
          <w:szCs w:val="24"/>
        </w:rPr>
        <w:t>a</w:t>
      </w:r>
      <w:r>
        <w:rPr>
          <w:sz w:val="24"/>
          <w:szCs w:val="24"/>
        </w:rPr>
        <w:t xml:space="preserve"> del Turchestan</w:t>
      </w:r>
      <w:r w:rsidR="001F3AE2">
        <w:rPr>
          <w:sz w:val="24"/>
          <w:szCs w:val="24"/>
        </w:rPr>
        <w:t>,</w:t>
      </w:r>
      <w:r>
        <w:rPr>
          <w:sz w:val="24"/>
          <w:szCs w:val="24"/>
        </w:rPr>
        <w:t xml:space="preserve"> mentre il Regno dell’Afghanistan veniva mantenuto indipendente, ma assegnato alla zona di influenza inglese.  </w:t>
      </w:r>
    </w:p>
    <w:p w14:paraId="731C5A3E" w14:textId="608AEC5A" w:rsidR="00E45960" w:rsidRDefault="00E45960" w:rsidP="00E45960">
      <w:pPr>
        <w:rPr>
          <w:sz w:val="24"/>
          <w:szCs w:val="24"/>
        </w:rPr>
      </w:pPr>
      <w:r>
        <w:rPr>
          <w:sz w:val="24"/>
          <w:szCs w:val="24"/>
        </w:rPr>
        <w:t xml:space="preserve">Nel Pacifico, l’Inghilterra già in possesso dell’Australia e della Nuova Zelanda, occupò le </w:t>
      </w:r>
      <w:r w:rsidRPr="00376EF5">
        <w:rPr>
          <w:b/>
          <w:bCs/>
          <w:sz w:val="24"/>
          <w:szCs w:val="24"/>
        </w:rPr>
        <w:t>isole Fiji, le Salomone e le Marianne</w:t>
      </w:r>
      <w:r>
        <w:rPr>
          <w:sz w:val="24"/>
          <w:szCs w:val="24"/>
        </w:rPr>
        <w:t xml:space="preserve">, mentre accettava una </w:t>
      </w:r>
      <w:r w:rsidRPr="00376EF5">
        <w:rPr>
          <w:b/>
          <w:bCs/>
          <w:sz w:val="24"/>
          <w:szCs w:val="24"/>
        </w:rPr>
        <w:t>divisione della Nuova Guinea con i Tedeschi</w:t>
      </w:r>
      <w:r>
        <w:rPr>
          <w:sz w:val="24"/>
          <w:szCs w:val="24"/>
        </w:rPr>
        <w:t xml:space="preserve">. Nel frattempo sul Pacifico si affacciavano due nuove potenze: </w:t>
      </w:r>
      <w:r w:rsidRPr="001F3AE2">
        <w:rPr>
          <w:b/>
          <w:bCs/>
          <w:sz w:val="24"/>
          <w:szCs w:val="24"/>
        </w:rPr>
        <w:t>Gli Stati Uniti ed il Giappone</w:t>
      </w:r>
      <w:r w:rsidR="001F3AE2">
        <w:rPr>
          <w:b/>
          <w:bCs/>
          <w:sz w:val="24"/>
          <w:szCs w:val="24"/>
        </w:rPr>
        <w:t>.</w:t>
      </w:r>
    </w:p>
    <w:p w14:paraId="21BEEAAC" w14:textId="77777777" w:rsidR="00E45960" w:rsidRDefault="00E45960" w:rsidP="00E45960">
      <w:pPr>
        <w:rPr>
          <w:sz w:val="24"/>
          <w:szCs w:val="24"/>
        </w:rPr>
      </w:pPr>
    </w:p>
    <w:p w14:paraId="343D7C90" w14:textId="77777777" w:rsidR="00E45960" w:rsidRPr="00376EF5" w:rsidRDefault="00E45960" w:rsidP="00E45960">
      <w:pPr>
        <w:jc w:val="center"/>
        <w:rPr>
          <w:sz w:val="32"/>
          <w:szCs w:val="32"/>
        </w:rPr>
      </w:pPr>
      <w:r w:rsidRPr="00376EF5">
        <w:rPr>
          <w:sz w:val="32"/>
          <w:szCs w:val="32"/>
        </w:rPr>
        <w:t>IL NOVECENTO</w:t>
      </w:r>
    </w:p>
    <w:p w14:paraId="35E05D01" w14:textId="77777777" w:rsidR="00E45960" w:rsidRPr="001F3AE2" w:rsidRDefault="00E45960" w:rsidP="00E45960">
      <w:pPr>
        <w:rPr>
          <w:b/>
          <w:bCs/>
          <w:sz w:val="24"/>
          <w:szCs w:val="24"/>
        </w:rPr>
      </w:pPr>
      <w:r w:rsidRPr="00376EF5">
        <w:rPr>
          <w:b/>
          <w:bCs/>
          <w:sz w:val="24"/>
          <w:szCs w:val="24"/>
        </w:rPr>
        <w:t>Vittoria</w:t>
      </w:r>
      <w:r>
        <w:rPr>
          <w:sz w:val="24"/>
          <w:szCs w:val="24"/>
        </w:rPr>
        <w:t xml:space="preserve"> morì nel 1901 lasciando il trono al sessantenne figlio </w:t>
      </w:r>
      <w:r w:rsidRPr="00DD5D27">
        <w:rPr>
          <w:b/>
          <w:bCs/>
          <w:sz w:val="24"/>
          <w:szCs w:val="24"/>
        </w:rPr>
        <w:t>Edoardo VII</w:t>
      </w:r>
      <w:r>
        <w:rPr>
          <w:sz w:val="24"/>
          <w:szCs w:val="24"/>
        </w:rPr>
        <w:t xml:space="preserve"> che regnò sino al 1910 e si trovò a gestire l’impero coloniale più grande del mondo. Ottenne l’appellativo di “pacificatore” per il personale contributo fornito all’avvicinamento dell’Inghilterra a Russia, Italia e Spagna. Concorse significativamente alla stipula </w:t>
      </w:r>
      <w:r w:rsidRPr="00376EF5">
        <w:rPr>
          <w:b/>
          <w:bCs/>
          <w:sz w:val="24"/>
          <w:szCs w:val="24"/>
        </w:rPr>
        <w:t>dell’Intesa cordiale con Francia nel 1907</w:t>
      </w:r>
      <w:r>
        <w:rPr>
          <w:sz w:val="24"/>
          <w:szCs w:val="24"/>
        </w:rPr>
        <w:t xml:space="preserve">.  </w:t>
      </w:r>
      <w:proofErr w:type="gramStart"/>
      <w:r>
        <w:rPr>
          <w:sz w:val="24"/>
          <w:szCs w:val="24"/>
        </w:rPr>
        <w:t>E’</w:t>
      </w:r>
      <w:proofErr w:type="gramEnd"/>
      <w:r>
        <w:rPr>
          <w:sz w:val="24"/>
          <w:szCs w:val="24"/>
        </w:rPr>
        <w:t xml:space="preserve"> passato alla storia anche con il soprannome di “</w:t>
      </w:r>
      <w:r w:rsidRPr="00376EF5">
        <w:rPr>
          <w:b/>
          <w:bCs/>
          <w:sz w:val="24"/>
          <w:szCs w:val="24"/>
        </w:rPr>
        <w:t>zio d’ Europa</w:t>
      </w:r>
      <w:r>
        <w:rPr>
          <w:sz w:val="24"/>
          <w:szCs w:val="24"/>
        </w:rPr>
        <w:t xml:space="preserve">” in quanto fu </w:t>
      </w:r>
      <w:r w:rsidRPr="001F3AE2">
        <w:rPr>
          <w:b/>
          <w:bCs/>
          <w:sz w:val="24"/>
          <w:szCs w:val="24"/>
        </w:rPr>
        <w:t xml:space="preserve">zio di Nicola II, Guglielmo II e Alfonso XII. </w:t>
      </w:r>
    </w:p>
    <w:p w14:paraId="7B5CCE25" w14:textId="77777777" w:rsidR="00E45960" w:rsidRDefault="00E45960" w:rsidP="00E45960">
      <w:pPr>
        <w:rPr>
          <w:sz w:val="24"/>
          <w:szCs w:val="24"/>
        </w:rPr>
      </w:pPr>
      <w:r>
        <w:rPr>
          <w:sz w:val="24"/>
          <w:szCs w:val="24"/>
        </w:rPr>
        <w:t xml:space="preserve">All’alternanza fra </w:t>
      </w:r>
      <w:proofErr w:type="spellStart"/>
      <w:r>
        <w:rPr>
          <w:sz w:val="24"/>
          <w:szCs w:val="24"/>
        </w:rPr>
        <w:t>wigs</w:t>
      </w:r>
      <w:proofErr w:type="spellEnd"/>
      <w:r>
        <w:rPr>
          <w:sz w:val="24"/>
          <w:szCs w:val="24"/>
        </w:rPr>
        <w:t xml:space="preserve"> e </w:t>
      </w:r>
      <w:proofErr w:type="spellStart"/>
      <w:r>
        <w:rPr>
          <w:sz w:val="24"/>
          <w:szCs w:val="24"/>
        </w:rPr>
        <w:t>tories</w:t>
      </w:r>
      <w:proofErr w:type="spellEnd"/>
      <w:r>
        <w:rPr>
          <w:sz w:val="24"/>
          <w:szCs w:val="24"/>
        </w:rPr>
        <w:t xml:space="preserve"> si sostituì una </w:t>
      </w:r>
      <w:r w:rsidRPr="00376EF5">
        <w:rPr>
          <w:b/>
          <w:bCs/>
          <w:sz w:val="24"/>
          <w:szCs w:val="24"/>
        </w:rPr>
        <w:t>coalizione fra conservatori e liberali</w:t>
      </w:r>
      <w:r>
        <w:rPr>
          <w:sz w:val="24"/>
          <w:szCs w:val="24"/>
        </w:rPr>
        <w:t xml:space="preserve"> guidata da lord </w:t>
      </w:r>
      <w:r w:rsidRPr="00CD3981">
        <w:rPr>
          <w:b/>
          <w:bCs/>
          <w:sz w:val="24"/>
          <w:szCs w:val="24"/>
        </w:rPr>
        <w:t>Joseph Chamberlain</w:t>
      </w:r>
      <w:r>
        <w:rPr>
          <w:sz w:val="24"/>
          <w:szCs w:val="24"/>
        </w:rPr>
        <w:t xml:space="preserve"> che occupò quasi ininterrottamente il ministero delle colonie. Continuò la linea politica che coniugava </w:t>
      </w:r>
      <w:r w:rsidRPr="00CD3981">
        <w:rPr>
          <w:b/>
          <w:bCs/>
          <w:sz w:val="24"/>
          <w:szCs w:val="24"/>
        </w:rPr>
        <w:t>colonialismo e riformismo sociale</w:t>
      </w:r>
      <w:r>
        <w:rPr>
          <w:sz w:val="24"/>
          <w:szCs w:val="24"/>
        </w:rPr>
        <w:t xml:space="preserve">, senza che questo intaccasse i privilegi delle classi agiate. Fra il 1897 e il 1905 furono emanate leggi che resero gli </w:t>
      </w:r>
      <w:r w:rsidRPr="00376EF5">
        <w:rPr>
          <w:b/>
          <w:bCs/>
          <w:sz w:val="24"/>
          <w:szCs w:val="24"/>
        </w:rPr>
        <w:t>imprenditori responsabili in materia di infortuni sul lavoro, accrebbero i finanziamenti per le scuole elementari e medie e favorivano il ricollocamento dei lavoratori disoccupati.</w:t>
      </w:r>
      <w:r>
        <w:rPr>
          <w:sz w:val="24"/>
          <w:szCs w:val="24"/>
        </w:rPr>
        <w:t xml:space="preserve"> </w:t>
      </w:r>
    </w:p>
    <w:p w14:paraId="325D5907" w14:textId="77777777" w:rsidR="00E45960" w:rsidRDefault="00E45960" w:rsidP="00E45960">
      <w:pPr>
        <w:rPr>
          <w:sz w:val="24"/>
          <w:szCs w:val="24"/>
        </w:rPr>
      </w:pPr>
      <w:r w:rsidRPr="000434A2">
        <w:rPr>
          <w:b/>
          <w:bCs/>
          <w:sz w:val="24"/>
          <w:szCs w:val="24"/>
        </w:rPr>
        <w:lastRenderedPageBreak/>
        <w:t>L’egemonia del partito conservatore</w:t>
      </w:r>
      <w:r>
        <w:rPr>
          <w:sz w:val="24"/>
          <w:szCs w:val="24"/>
        </w:rPr>
        <w:t xml:space="preserve"> e del governo </w:t>
      </w:r>
      <w:r w:rsidRPr="00CD3981">
        <w:rPr>
          <w:b/>
          <w:bCs/>
          <w:sz w:val="24"/>
          <w:szCs w:val="24"/>
        </w:rPr>
        <w:t>Balfour entrò in crisi nel 1902</w:t>
      </w:r>
      <w:r>
        <w:rPr>
          <w:sz w:val="24"/>
          <w:szCs w:val="24"/>
        </w:rPr>
        <w:t xml:space="preserve">, anno in cui il ministro delle Colonie </w:t>
      </w:r>
      <w:r w:rsidRPr="00376EF5">
        <w:rPr>
          <w:b/>
          <w:bCs/>
          <w:sz w:val="24"/>
          <w:szCs w:val="24"/>
        </w:rPr>
        <w:t>Chamberlain</w:t>
      </w:r>
      <w:r>
        <w:rPr>
          <w:b/>
          <w:bCs/>
          <w:sz w:val="24"/>
          <w:szCs w:val="24"/>
        </w:rPr>
        <w:t>,</w:t>
      </w:r>
      <w:r>
        <w:rPr>
          <w:sz w:val="24"/>
          <w:szCs w:val="24"/>
        </w:rPr>
        <w:t xml:space="preserve"> motivato dalle enormi spese sostenute per supportare il conflitto anglo-boero, al motto di “Preferenza all’ Impero”, propose di applicare una tassa protezionistica definita </w:t>
      </w:r>
      <w:r w:rsidRPr="00DD5D27">
        <w:rPr>
          <w:b/>
          <w:bCs/>
          <w:sz w:val="24"/>
          <w:szCs w:val="24"/>
        </w:rPr>
        <w:t>“tassa Imperiale</w:t>
      </w:r>
      <w:r>
        <w:rPr>
          <w:sz w:val="24"/>
          <w:szCs w:val="24"/>
        </w:rPr>
        <w:t xml:space="preserve">” sulle merci provenienti da paesi “stranieri”. Inizialmente il progetto fortemente pubblicizzato dallo stesso Chamberlain che in una appassionata campagna nel paese ne motivò la necessità per mantenere l’welfare di cui godevano i cittadini britannici, ebbe successo, ma l’aspra battaglia liberista condotta dal Partito liberale ed in particolare da </w:t>
      </w:r>
      <w:r w:rsidRPr="00DD5D27">
        <w:rPr>
          <w:b/>
          <w:bCs/>
          <w:sz w:val="24"/>
          <w:szCs w:val="24"/>
        </w:rPr>
        <w:t>Herbert Henry Asquith</w:t>
      </w:r>
      <w:r>
        <w:rPr>
          <w:sz w:val="24"/>
          <w:szCs w:val="24"/>
        </w:rPr>
        <w:t xml:space="preserve"> risultò vincente. Fu così che le elezioni del </w:t>
      </w:r>
      <w:r w:rsidRPr="00CD3981">
        <w:rPr>
          <w:b/>
          <w:bCs/>
          <w:sz w:val="24"/>
          <w:szCs w:val="24"/>
        </w:rPr>
        <w:t xml:space="preserve">1906 riconsegnarono il paese ai </w:t>
      </w:r>
      <w:r>
        <w:rPr>
          <w:b/>
          <w:bCs/>
          <w:sz w:val="24"/>
          <w:szCs w:val="24"/>
        </w:rPr>
        <w:t>Liberali</w:t>
      </w:r>
      <w:r>
        <w:rPr>
          <w:sz w:val="24"/>
          <w:szCs w:val="24"/>
        </w:rPr>
        <w:t>. Una novità di queste elezioni fu rappresentata dalla presenza in Parlamento di una modesta pattuglia di 30 deputati del Partito Laburista</w:t>
      </w:r>
      <w:r>
        <w:rPr>
          <w:rStyle w:val="Rimandonotaapidipagina"/>
          <w:sz w:val="24"/>
          <w:szCs w:val="24"/>
        </w:rPr>
        <w:footnoteReference w:id="1"/>
      </w:r>
      <w:r>
        <w:rPr>
          <w:sz w:val="24"/>
          <w:szCs w:val="24"/>
        </w:rPr>
        <w:t xml:space="preserve">. </w:t>
      </w:r>
    </w:p>
    <w:p w14:paraId="422D377C" w14:textId="57DEEDD0" w:rsidR="00E45960" w:rsidRDefault="00E45960" w:rsidP="00E45960">
      <w:pPr>
        <w:rPr>
          <w:sz w:val="24"/>
          <w:szCs w:val="24"/>
        </w:rPr>
      </w:pPr>
      <w:r w:rsidRPr="00376EF5">
        <w:rPr>
          <w:b/>
          <w:bCs/>
          <w:sz w:val="24"/>
          <w:szCs w:val="24"/>
        </w:rPr>
        <w:t>I Liberali ebbero una linea politica meno aggressiva in ambito coloniale e più decisa invece nel campo delle riforme</w:t>
      </w:r>
      <w:r>
        <w:rPr>
          <w:sz w:val="24"/>
          <w:szCs w:val="24"/>
        </w:rPr>
        <w:t>. Con loro si ottenne la riduzione dell’orario di lavoro a 8 ore per i minatori, la istituzione degli uffici di collocamento, l’assicurazione per vecchiaia a totale carico dello Stato. L’atto più coraggioso per sopperire alle crescenti spese per la corsa agli armamenti navali e per le riforme</w:t>
      </w:r>
      <w:r w:rsidR="000434A2">
        <w:rPr>
          <w:sz w:val="24"/>
          <w:szCs w:val="24"/>
        </w:rPr>
        <w:t>,</w:t>
      </w:r>
      <w:r>
        <w:rPr>
          <w:sz w:val="24"/>
          <w:szCs w:val="24"/>
        </w:rPr>
        <w:t xml:space="preserve"> fu una politica fiscale che prevedeva un </w:t>
      </w:r>
      <w:r w:rsidRPr="00DD5D27">
        <w:rPr>
          <w:b/>
          <w:bCs/>
          <w:sz w:val="24"/>
          <w:szCs w:val="24"/>
        </w:rPr>
        <w:t>prelievo decisamente progressivo</w:t>
      </w:r>
      <w:r>
        <w:rPr>
          <w:sz w:val="24"/>
          <w:szCs w:val="24"/>
        </w:rPr>
        <w:t xml:space="preserve">. L’atto provocò una </w:t>
      </w:r>
      <w:r w:rsidRPr="00376EF5">
        <w:rPr>
          <w:b/>
          <w:bCs/>
          <w:sz w:val="24"/>
          <w:szCs w:val="24"/>
        </w:rPr>
        <w:t>violenta ed insolita reazione della Camera dei Lords</w:t>
      </w:r>
      <w:r>
        <w:rPr>
          <w:sz w:val="24"/>
          <w:szCs w:val="24"/>
        </w:rPr>
        <w:t>. Per tradizione (la Gran Bretagna neppur oggi ha un documento costituzionale)</w:t>
      </w:r>
      <w:r>
        <w:rPr>
          <w:rStyle w:val="Rimandonotaapidipagina"/>
          <w:sz w:val="24"/>
          <w:szCs w:val="24"/>
        </w:rPr>
        <w:footnoteReference w:id="2"/>
      </w:r>
      <w:r>
        <w:rPr>
          <w:sz w:val="24"/>
          <w:szCs w:val="24"/>
        </w:rPr>
        <w:t xml:space="preserve">, la Camera dei Lord non aveva diritto di veto sulle leggi finanziarie votate dalla Camera dei Comuni in quanto questo atto avrebbe provocato il blocco della macchina statale. </w:t>
      </w:r>
      <w:r w:rsidRPr="00376EF5">
        <w:rPr>
          <w:b/>
          <w:bCs/>
          <w:sz w:val="24"/>
          <w:szCs w:val="24"/>
        </w:rPr>
        <w:t>Questa volta lo fece e respinse il bilancio elaborato dal Cancelliere dello Scacchiere David Lloyd George</w:t>
      </w:r>
      <w:r>
        <w:rPr>
          <w:sz w:val="24"/>
          <w:szCs w:val="24"/>
        </w:rPr>
        <w:t>. Ne nacque un conflitto costituzionale fra le due Camere, l’una a maggioranza liberale e l’altra a maggioranza conservatrice. I liberali presentarono allora un progetto di legge parlamentare che negava ai Lord il diritto di respingere leggi di bilancio e lasciava a loro solo la facoltà di rinviare alla Camera dei Comuni le altre leggi solo per due volte</w:t>
      </w:r>
      <w:r w:rsidRPr="00376EF5">
        <w:rPr>
          <w:b/>
          <w:bCs/>
          <w:sz w:val="24"/>
          <w:szCs w:val="24"/>
        </w:rPr>
        <w:t>. Nel 1911</w:t>
      </w:r>
      <w:r>
        <w:rPr>
          <w:sz w:val="24"/>
          <w:szCs w:val="24"/>
        </w:rPr>
        <w:t xml:space="preserve"> dopo un braccio di ferro durato due anni e elezioni anticipate vinte di stretta misura dai liberali, anche per le insistenze di Giorgio V</w:t>
      </w:r>
      <w:r w:rsidR="000434A2">
        <w:rPr>
          <w:sz w:val="24"/>
          <w:szCs w:val="24"/>
        </w:rPr>
        <w:t xml:space="preserve">, i Lords </w:t>
      </w:r>
      <w:r w:rsidRPr="00376EF5">
        <w:rPr>
          <w:b/>
          <w:bCs/>
          <w:sz w:val="24"/>
          <w:szCs w:val="24"/>
        </w:rPr>
        <w:t>si piegarono ad accettare la riforma</w:t>
      </w:r>
      <w:r>
        <w:rPr>
          <w:sz w:val="24"/>
          <w:szCs w:val="24"/>
        </w:rPr>
        <w:t xml:space="preserve">. Non furono comunque anni facili: la legislazione sociale non fu accompagnata da consistenti miglioramenti salariali e </w:t>
      </w:r>
      <w:r w:rsidRPr="00376EF5">
        <w:rPr>
          <w:b/>
          <w:bCs/>
          <w:sz w:val="24"/>
          <w:szCs w:val="24"/>
        </w:rPr>
        <w:t>un’ondata di scioperi travolse il paese</w:t>
      </w:r>
      <w:r>
        <w:rPr>
          <w:sz w:val="24"/>
          <w:szCs w:val="24"/>
        </w:rPr>
        <w:t xml:space="preserve">. Ad essi si aggiunsero le </w:t>
      </w:r>
      <w:r w:rsidRPr="00376EF5">
        <w:rPr>
          <w:b/>
          <w:bCs/>
          <w:sz w:val="24"/>
          <w:szCs w:val="24"/>
        </w:rPr>
        <w:t>rivendicazioni delle suffragette e dei nazionalisti irlandesi che ormai disponevano nella Camera dei Comuni di 80 deputati</w:t>
      </w:r>
      <w:r>
        <w:rPr>
          <w:sz w:val="24"/>
          <w:szCs w:val="24"/>
        </w:rPr>
        <w:t xml:space="preserve"> il cui appoggio era necessario ai liberali per mantenere la maggioranza. </w:t>
      </w:r>
    </w:p>
    <w:p w14:paraId="5BB676FF" w14:textId="4456F214" w:rsidR="00E45960" w:rsidRDefault="00E45960" w:rsidP="00E45960">
      <w:pPr>
        <w:rPr>
          <w:sz w:val="24"/>
          <w:szCs w:val="24"/>
        </w:rPr>
      </w:pPr>
      <w:r w:rsidRPr="00376EF5">
        <w:rPr>
          <w:b/>
          <w:bCs/>
          <w:sz w:val="24"/>
          <w:szCs w:val="24"/>
        </w:rPr>
        <w:t>La questione Irlandese</w:t>
      </w:r>
      <w:r>
        <w:rPr>
          <w:sz w:val="24"/>
          <w:szCs w:val="24"/>
        </w:rPr>
        <w:t xml:space="preserve"> </w:t>
      </w:r>
      <w:r w:rsidR="000434A2">
        <w:rPr>
          <w:sz w:val="24"/>
          <w:szCs w:val="24"/>
        </w:rPr>
        <w:t xml:space="preserve">- </w:t>
      </w:r>
      <w:r>
        <w:rPr>
          <w:sz w:val="24"/>
          <w:szCs w:val="24"/>
        </w:rPr>
        <w:t xml:space="preserve">Nel 1911 il </w:t>
      </w:r>
      <w:r w:rsidRPr="00AB16EF">
        <w:rPr>
          <w:b/>
          <w:bCs/>
          <w:sz w:val="24"/>
          <w:szCs w:val="24"/>
        </w:rPr>
        <w:t>governo Asquith</w:t>
      </w:r>
      <w:r>
        <w:rPr>
          <w:sz w:val="24"/>
          <w:szCs w:val="24"/>
        </w:rPr>
        <w:t xml:space="preserve"> presentò un nuovo progetto di </w:t>
      </w:r>
      <w:r w:rsidRPr="00376EF5">
        <w:rPr>
          <w:b/>
          <w:bCs/>
          <w:sz w:val="24"/>
          <w:szCs w:val="24"/>
        </w:rPr>
        <w:t>Home Rule</w:t>
      </w:r>
      <w:r>
        <w:rPr>
          <w:sz w:val="24"/>
          <w:szCs w:val="24"/>
        </w:rPr>
        <w:t xml:space="preserve"> </w:t>
      </w:r>
      <w:r w:rsidRPr="00376EF5">
        <w:rPr>
          <w:b/>
          <w:bCs/>
          <w:sz w:val="24"/>
          <w:szCs w:val="24"/>
        </w:rPr>
        <w:t xml:space="preserve">che prevedeva un’Irlanda autonoma, con un proprio governo ed un proprio Parlamento, ma legata alla corona britannica per questioni di comune interesse. </w:t>
      </w:r>
      <w:r>
        <w:rPr>
          <w:sz w:val="24"/>
          <w:szCs w:val="24"/>
        </w:rPr>
        <w:t xml:space="preserve">La proposta scontentò i nazionalisti irlandesi che chiedevano la piena indipendenza e la minoranza protestante dell’Ulster (Irlanda del Nord) che organizzò il movimento degli </w:t>
      </w:r>
      <w:r w:rsidRPr="00376EF5">
        <w:rPr>
          <w:b/>
          <w:bCs/>
          <w:sz w:val="24"/>
          <w:szCs w:val="24"/>
        </w:rPr>
        <w:t>Irish Volunteers</w:t>
      </w:r>
      <w:r>
        <w:rPr>
          <w:sz w:val="24"/>
          <w:szCs w:val="24"/>
        </w:rPr>
        <w:t xml:space="preserve">. Il progetto venne approvato </w:t>
      </w:r>
      <w:r>
        <w:rPr>
          <w:sz w:val="24"/>
          <w:szCs w:val="24"/>
        </w:rPr>
        <w:lastRenderedPageBreak/>
        <w:t>alla Camera nel 1914, ma sua applicazione fu sospesa a causa dello scoppio della Prima Guerra Mondiale che terminata nel 1919 lasciava sul terreno 8 milioni e mezzo di morti, oltre 20 milioni di feriti gravi e mutilati di cui circa 1 milione di Inglesi. Tutto il periodo intercorrente fra la prima Guerra Mondiale e l’affermazione delle dittature o di governi fortemente autoritari vide sul trono Giorgio V (1910-936)</w:t>
      </w:r>
      <w:r w:rsidR="000434A2">
        <w:rPr>
          <w:sz w:val="24"/>
          <w:szCs w:val="24"/>
        </w:rPr>
        <w:t>.</w:t>
      </w:r>
    </w:p>
    <w:p w14:paraId="02000482" w14:textId="77777777" w:rsidR="00E45960" w:rsidRPr="00376EF5" w:rsidRDefault="00E45960" w:rsidP="00E45960">
      <w:pPr>
        <w:rPr>
          <w:b/>
          <w:bCs/>
          <w:sz w:val="24"/>
          <w:szCs w:val="24"/>
          <w:u w:val="single"/>
        </w:rPr>
      </w:pPr>
      <w:r w:rsidRPr="00376EF5">
        <w:rPr>
          <w:b/>
          <w:bCs/>
          <w:sz w:val="24"/>
          <w:szCs w:val="24"/>
          <w:u w:val="single"/>
        </w:rPr>
        <w:t>Il primo dopoguerra</w:t>
      </w:r>
    </w:p>
    <w:p w14:paraId="55B9A9F8" w14:textId="4CFB1B61" w:rsidR="00E45960" w:rsidRDefault="00E45960" w:rsidP="00E45960">
      <w:pPr>
        <w:rPr>
          <w:sz w:val="24"/>
          <w:szCs w:val="24"/>
        </w:rPr>
      </w:pPr>
      <w:bookmarkStart w:id="1" w:name="_Hlk164161631"/>
      <w:r>
        <w:rPr>
          <w:sz w:val="24"/>
          <w:szCs w:val="24"/>
        </w:rPr>
        <w:t xml:space="preserve">Il primo dopoguerra segnò per la prima volta una </w:t>
      </w:r>
      <w:r w:rsidRPr="00FB599D">
        <w:rPr>
          <w:b/>
          <w:bCs/>
          <w:sz w:val="24"/>
          <w:szCs w:val="24"/>
        </w:rPr>
        <w:t>stagnazione dell’economia britannica</w:t>
      </w:r>
      <w:r>
        <w:rPr>
          <w:sz w:val="24"/>
          <w:szCs w:val="24"/>
        </w:rPr>
        <w:t xml:space="preserve"> e il suo apparato produttivo mostrò di essere invecchiato e sempre meno in grado </w:t>
      </w:r>
      <w:r w:rsidR="000434A2">
        <w:rPr>
          <w:sz w:val="24"/>
          <w:szCs w:val="24"/>
        </w:rPr>
        <w:t xml:space="preserve">sia </w:t>
      </w:r>
      <w:r>
        <w:rPr>
          <w:sz w:val="24"/>
          <w:szCs w:val="24"/>
        </w:rPr>
        <w:t xml:space="preserve">di reggere la concorrenza con i paesi di più recente industrializzazione, in particolare gli Usa, </w:t>
      </w:r>
      <w:r w:rsidR="000434A2">
        <w:rPr>
          <w:sz w:val="24"/>
          <w:szCs w:val="24"/>
        </w:rPr>
        <w:t>sia</w:t>
      </w:r>
      <w:r>
        <w:rPr>
          <w:sz w:val="24"/>
          <w:szCs w:val="24"/>
        </w:rPr>
        <w:t xml:space="preserve"> di far fronte alle trasformazioni della tecnica produttiva che utilizzava energia elettrica e sostituiva il petrolio al carbone.   Nel 1929 l’indice di produzione industriale era ancora pari a quello del 1914.</w:t>
      </w:r>
      <w:r w:rsidRPr="00680D94">
        <w:rPr>
          <w:sz w:val="24"/>
          <w:szCs w:val="24"/>
        </w:rPr>
        <w:t xml:space="preserve"> </w:t>
      </w:r>
      <w:bookmarkEnd w:id="1"/>
    </w:p>
    <w:p w14:paraId="4EBA7885" w14:textId="585630A7" w:rsidR="00E45960" w:rsidRPr="000434A2" w:rsidRDefault="00E45960" w:rsidP="00E45960">
      <w:pPr>
        <w:rPr>
          <w:b/>
          <w:bCs/>
          <w:sz w:val="24"/>
          <w:szCs w:val="24"/>
        </w:rPr>
      </w:pPr>
      <w:r>
        <w:rPr>
          <w:sz w:val="24"/>
          <w:szCs w:val="24"/>
        </w:rPr>
        <w:t xml:space="preserve">L’altro problema che si ripresentò nell’immediato dopoguerra fu la </w:t>
      </w:r>
      <w:r w:rsidRPr="00FB599D">
        <w:rPr>
          <w:b/>
          <w:bCs/>
          <w:sz w:val="24"/>
          <w:szCs w:val="24"/>
        </w:rPr>
        <w:t>ripresa della guerra civile in Irlanda</w:t>
      </w:r>
      <w:r w:rsidRPr="00FB599D">
        <w:rPr>
          <w:sz w:val="24"/>
          <w:szCs w:val="24"/>
        </w:rPr>
        <w:t xml:space="preserve">. Nel 1921 il governo di </w:t>
      </w:r>
      <w:r w:rsidRPr="000434A2">
        <w:rPr>
          <w:b/>
          <w:bCs/>
          <w:sz w:val="24"/>
          <w:szCs w:val="24"/>
        </w:rPr>
        <w:t>Lloyd George</w:t>
      </w:r>
      <w:r w:rsidRPr="00FB599D">
        <w:rPr>
          <w:sz w:val="24"/>
          <w:szCs w:val="24"/>
        </w:rPr>
        <w:t xml:space="preserve"> riconobbe lo </w:t>
      </w:r>
      <w:r w:rsidRPr="000434A2">
        <w:rPr>
          <w:b/>
          <w:bCs/>
          <w:sz w:val="24"/>
          <w:szCs w:val="24"/>
        </w:rPr>
        <w:t>Stato libero dell’Irlanda</w:t>
      </w:r>
      <w:r>
        <w:rPr>
          <w:sz w:val="24"/>
          <w:szCs w:val="24"/>
        </w:rPr>
        <w:t xml:space="preserve"> </w:t>
      </w:r>
      <w:r w:rsidRPr="000434A2">
        <w:rPr>
          <w:b/>
          <w:bCs/>
          <w:sz w:val="24"/>
          <w:szCs w:val="24"/>
        </w:rPr>
        <w:t>dal quale si distaccò la regione settentrionale dell’Ulster, protestante ed industriale che continuò a far parte del Regno Unito</w:t>
      </w:r>
      <w:r w:rsidR="000434A2">
        <w:rPr>
          <w:b/>
          <w:bCs/>
          <w:sz w:val="24"/>
          <w:szCs w:val="24"/>
        </w:rPr>
        <w:t>.</w:t>
      </w:r>
      <w:r w:rsidRPr="000434A2">
        <w:rPr>
          <w:b/>
          <w:bCs/>
          <w:sz w:val="24"/>
          <w:szCs w:val="24"/>
        </w:rPr>
        <w:t xml:space="preserve"> </w:t>
      </w:r>
    </w:p>
    <w:p w14:paraId="62AE6699" w14:textId="5F9897CE" w:rsidR="00E45960" w:rsidRDefault="00E45960" w:rsidP="00E45960">
      <w:pPr>
        <w:rPr>
          <w:sz w:val="24"/>
          <w:szCs w:val="24"/>
        </w:rPr>
      </w:pPr>
      <w:r>
        <w:rPr>
          <w:sz w:val="24"/>
          <w:szCs w:val="24"/>
        </w:rPr>
        <w:t xml:space="preserve"> </w:t>
      </w:r>
      <w:r w:rsidRPr="00FB599D">
        <w:rPr>
          <w:b/>
          <w:bCs/>
          <w:sz w:val="24"/>
          <w:szCs w:val="24"/>
        </w:rPr>
        <w:t>A guidare il paese fra il 1918 e il 1929 furono le forze moderate</w:t>
      </w:r>
      <w:r>
        <w:rPr>
          <w:sz w:val="24"/>
          <w:szCs w:val="24"/>
        </w:rPr>
        <w:t xml:space="preserve">: i Conservatori, prima alleati con i liberali e poi da soli. Fece eccezione l’anno 1924 in cui a guidare il Paese fu </w:t>
      </w:r>
      <w:r w:rsidRPr="00FB599D">
        <w:rPr>
          <w:b/>
          <w:bCs/>
          <w:sz w:val="24"/>
          <w:szCs w:val="24"/>
        </w:rPr>
        <w:t>James Ramsay Mac Donald</w:t>
      </w:r>
      <w:r>
        <w:rPr>
          <w:sz w:val="24"/>
          <w:szCs w:val="24"/>
        </w:rPr>
        <w:t xml:space="preserve">, esponente dei </w:t>
      </w:r>
      <w:r w:rsidRPr="000434A2">
        <w:rPr>
          <w:b/>
          <w:bCs/>
          <w:sz w:val="24"/>
          <w:szCs w:val="24"/>
        </w:rPr>
        <w:t>laburist</w:t>
      </w:r>
      <w:r>
        <w:rPr>
          <w:sz w:val="24"/>
          <w:szCs w:val="24"/>
        </w:rPr>
        <w:t>i appoggiato dai liberali. I conservatori riuscirono tuttavia a spezzare la coalizione quando il primo ministro propose</w:t>
      </w:r>
      <w:r w:rsidR="000434A2">
        <w:rPr>
          <w:sz w:val="24"/>
          <w:szCs w:val="24"/>
        </w:rPr>
        <w:t>,</w:t>
      </w:r>
      <w:r>
        <w:rPr>
          <w:sz w:val="24"/>
          <w:szCs w:val="24"/>
        </w:rPr>
        <w:t xml:space="preserve"> oltre che di riconoscere l’URSS</w:t>
      </w:r>
      <w:r w:rsidR="000434A2">
        <w:rPr>
          <w:sz w:val="24"/>
          <w:szCs w:val="24"/>
        </w:rPr>
        <w:t>,</w:t>
      </w:r>
      <w:r>
        <w:rPr>
          <w:sz w:val="24"/>
          <w:szCs w:val="24"/>
        </w:rPr>
        <w:t xml:space="preserve"> anche di concederle un prestito</w:t>
      </w:r>
      <w:r w:rsidRPr="0074478E">
        <w:rPr>
          <w:b/>
          <w:bCs/>
          <w:sz w:val="24"/>
          <w:szCs w:val="24"/>
        </w:rPr>
        <w:t xml:space="preserve">.  Le elezioni del novembre del ’24 ridiedero una schiacciante maggioranza ai conservatori </w:t>
      </w:r>
      <w:r>
        <w:rPr>
          <w:sz w:val="24"/>
          <w:szCs w:val="24"/>
        </w:rPr>
        <w:t xml:space="preserve">che avviarono una politica di </w:t>
      </w:r>
      <w:r w:rsidRPr="000434A2">
        <w:rPr>
          <w:b/>
          <w:bCs/>
          <w:sz w:val="24"/>
          <w:szCs w:val="24"/>
        </w:rPr>
        <w:t>austerità finanziaria</w:t>
      </w:r>
      <w:r>
        <w:rPr>
          <w:sz w:val="24"/>
          <w:szCs w:val="24"/>
        </w:rPr>
        <w:t xml:space="preserve"> basata sulla rivalutazione della sterlina, la restrizione delle spese pubbliche e il contenimento dei salari. Churchill che era allora </w:t>
      </w:r>
      <w:r w:rsidRPr="000434A2">
        <w:rPr>
          <w:b/>
          <w:bCs/>
          <w:sz w:val="24"/>
          <w:szCs w:val="24"/>
        </w:rPr>
        <w:t>Cancelliere dello Scacchiere</w:t>
      </w:r>
      <w:r>
        <w:rPr>
          <w:sz w:val="24"/>
          <w:szCs w:val="24"/>
        </w:rPr>
        <w:t xml:space="preserve"> (ministro delle Finanze) aveva ipotizzato che tali misure avrebbero determinato una ripresa dell’economia e conseguentemente dell’occupazione. Non fu così: ancora nel 1926 il numero dei disoccupati superava il milione</w:t>
      </w:r>
      <w:r w:rsidR="000434A2">
        <w:rPr>
          <w:sz w:val="24"/>
          <w:szCs w:val="24"/>
        </w:rPr>
        <w:t xml:space="preserve">. </w:t>
      </w:r>
      <w:r>
        <w:rPr>
          <w:sz w:val="24"/>
          <w:szCs w:val="24"/>
        </w:rPr>
        <w:t>Ne derivò un duro scontro con i sindacati. Nel maggio del 1926</w:t>
      </w:r>
      <w:r w:rsidR="000434A2">
        <w:rPr>
          <w:sz w:val="24"/>
          <w:szCs w:val="24"/>
        </w:rPr>
        <w:t>,</w:t>
      </w:r>
      <w:r>
        <w:rPr>
          <w:sz w:val="24"/>
          <w:szCs w:val="24"/>
        </w:rPr>
        <w:t xml:space="preserve"> 1 milione di minatori entrò in sciopero contro il governo conservatore </w:t>
      </w:r>
      <w:r w:rsidRPr="00027754">
        <w:rPr>
          <w:b/>
          <w:bCs/>
          <w:sz w:val="24"/>
          <w:szCs w:val="24"/>
        </w:rPr>
        <w:t>Baldwin</w:t>
      </w:r>
      <w:r>
        <w:rPr>
          <w:sz w:val="24"/>
          <w:szCs w:val="24"/>
        </w:rPr>
        <w:t xml:space="preserve"> chiedendo aumenti salariali e proponendo la nazionalizzazione del settore minerario. Il sindacato proclamò lo sciopero generale che vide la mobilitazione di oltre 4 milioni di lavoratori dell’industria. Il governo accusò della situazione il minuscolo Partito Comunista nato nel 1920; il Partito Laburista e lo stesso sindacato si rivelarono assai tiepidi nel sostenere la lotta e dopo nove giorni (3-12 maggio) lo sciopero si concluse. In campo restarono soli i minatori che dopo 7 mesi dovettero cedere</w:t>
      </w:r>
      <w:r w:rsidRPr="00027754">
        <w:rPr>
          <w:b/>
          <w:bCs/>
          <w:sz w:val="24"/>
          <w:szCs w:val="24"/>
        </w:rPr>
        <w:t>. La sconfitta indusse il governo conservatore a decidere una pesante riduzione dei diritti sindacali: furono vietati gli scioperi di solidarietà e fu dichiarata illegale la pratica di iscrivere d’ufficio gli iscritti alle Trade Union al Labour Party</w:t>
      </w:r>
      <w:r>
        <w:rPr>
          <w:sz w:val="24"/>
          <w:szCs w:val="24"/>
        </w:rPr>
        <w:t>.</w:t>
      </w:r>
    </w:p>
    <w:p w14:paraId="57A2E514" w14:textId="7C04B04B" w:rsidR="00E45960" w:rsidRDefault="00E45960" w:rsidP="00E45960">
      <w:pPr>
        <w:rPr>
          <w:sz w:val="24"/>
          <w:szCs w:val="24"/>
        </w:rPr>
      </w:pPr>
      <w:r>
        <w:rPr>
          <w:sz w:val="24"/>
          <w:szCs w:val="24"/>
        </w:rPr>
        <w:t xml:space="preserve"> Per il Labour Party fu un duro colpo che venne comunque superato dalla formazione di un nuovo governo Laburista ancora guidato da </w:t>
      </w:r>
      <w:r w:rsidRPr="00EB7B29">
        <w:rPr>
          <w:b/>
          <w:bCs/>
          <w:sz w:val="24"/>
          <w:szCs w:val="24"/>
        </w:rPr>
        <w:t>Mac Donald nel 1929</w:t>
      </w:r>
      <w:r>
        <w:rPr>
          <w:sz w:val="24"/>
          <w:szCs w:val="24"/>
        </w:rPr>
        <w:t>, ma destinato anch’esso a breve vita con il sopraggiungere della grande crisi. Mac Donald infatti, tra i provvedimenti per fronteggiare la crisi, inserì anche quello della decurtazione dei salari e del taglio del sussidio di disoccupazione, ottenendo un secco no dalle Trade Union. A questo punto Mac Donald ruppe con i sindacati e con una ridotta pattuglia di laburisti cui si associarono liberali e conservatori</w:t>
      </w:r>
      <w:r w:rsidR="000434A2">
        <w:rPr>
          <w:sz w:val="24"/>
          <w:szCs w:val="24"/>
        </w:rPr>
        <w:t>,</w:t>
      </w:r>
      <w:r>
        <w:rPr>
          <w:sz w:val="24"/>
          <w:szCs w:val="24"/>
        </w:rPr>
        <w:t xml:space="preserve"> diede vita ad un “governo </w:t>
      </w:r>
      <w:r>
        <w:rPr>
          <w:sz w:val="24"/>
          <w:szCs w:val="24"/>
        </w:rPr>
        <w:lastRenderedPageBreak/>
        <w:t xml:space="preserve">nazionale”. Sotto il suo governo l’Inghilterra svalutò la sterlina e abbandonò la linea liberoscambista privilegiando i rapporti con il Commonwealth. </w:t>
      </w:r>
    </w:p>
    <w:p w14:paraId="1F3B26E1" w14:textId="77777777" w:rsidR="00E45960" w:rsidRDefault="00E45960" w:rsidP="00E45960">
      <w:pPr>
        <w:rPr>
          <w:sz w:val="24"/>
          <w:szCs w:val="24"/>
        </w:rPr>
      </w:pPr>
    </w:p>
    <w:p w14:paraId="3B4F4DD2" w14:textId="77777777" w:rsidR="00E45960" w:rsidRDefault="00E45960" w:rsidP="00E45960">
      <w:pPr>
        <w:jc w:val="center"/>
        <w:rPr>
          <w:b/>
          <w:bCs/>
          <w:sz w:val="24"/>
          <w:szCs w:val="24"/>
        </w:rPr>
      </w:pPr>
      <w:r>
        <w:rPr>
          <w:b/>
          <w:bCs/>
          <w:sz w:val="24"/>
          <w:szCs w:val="24"/>
        </w:rPr>
        <w:t>GLI ANNI 30-40</w:t>
      </w:r>
    </w:p>
    <w:p w14:paraId="6C694116" w14:textId="77777777" w:rsidR="00E45960" w:rsidRPr="00E90D8C" w:rsidRDefault="00E45960" w:rsidP="00E45960">
      <w:pPr>
        <w:rPr>
          <w:b/>
          <w:bCs/>
          <w:sz w:val="24"/>
          <w:szCs w:val="24"/>
        </w:rPr>
      </w:pPr>
      <w:r w:rsidRPr="00E90D8C">
        <w:rPr>
          <w:b/>
          <w:bCs/>
          <w:sz w:val="24"/>
          <w:szCs w:val="24"/>
        </w:rPr>
        <w:t>EMANCIPAZIONE DEI POPOLI COLONIALI</w:t>
      </w:r>
    </w:p>
    <w:p w14:paraId="1CF2D3FE" w14:textId="77777777" w:rsidR="00E45960" w:rsidRDefault="00E45960" w:rsidP="00E45960">
      <w:pPr>
        <w:rPr>
          <w:sz w:val="24"/>
          <w:szCs w:val="24"/>
        </w:rPr>
      </w:pPr>
      <w:r>
        <w:rPr>
          <w:sz w:val="24"/>
          <w:szCs w:val="24"/>
        </w:rPr>
        <w:t xml:space="preserve">Nello stesso periodo I rapporti con il Commonwealth e con i “mandati” acquisti in Medio Oriente in conseguenza dei trattati di pace con l’Impero Ottomano si complicavano. </w:t>
      </w:r>
    </w:p>
    <w:p w14:paraId="2ABB7970" w14:textId="1F9CD8E5" w:rsidR="00E45960" w:rsidRDefault="00E45960" w:rsidP="00E45960">
      <w:pPr>
        <w:rPr>
          <w:sz w:val="24"/>
          <w:szCs w:val="24"/>
        </w:rPr>
      </w:pPr>
      <w:r>
        <w:rPr>
          <w:sz w:val="24"/>
          <w:szCs w:val="24"/>
        </w:rPr>
        <w:t xml:space="preserve">Per gli Inglesi  il problema più grave era rappresentata dalla </w:t>
      </w:r>
      <w:r w:rsidRPr="00286996">
        <w:rPr>
          <w:b/>
          <w:bCs/>
          <w:sz w:val="24"/>
          <w:szCs w:val="24"/>
        </w:rPr>
        <w:t>questione indiana</w:t>
      </w:r>
      <w:r>
        <w:rPr>
          <w:sz w:val="24"/>
          <w:szCs w:val="24"/>
        </w:rPr>
        <w:t xml:space="preserve">  dove il </w:t>
      </w:r>
      <w:r>
        <w:rPr>
          <w:i/>
          <w:iCs/>
          <w:sz w:val="24"/>
          <w:szCs w:val="24"/>
        </w:rPr>
        <w:t>Partito del Congresso</w:t>
      </w:r>
      <w:r>
        <w:rPr>
          <w:sz w:val="24"/>
          <w:szCs w:val="24"/>
        </w:rPr>
        <w:t xml:space="preserve">, </w:t>
      </w:r>
      <w:r w:rsidRPr="00EB7B29">
        <w:rPr>
          <w:sz w:val="24"/>
          <w:szCs w:val="24"/>
        </w:rPr>
        <w:t xml:space="preserve">nato nel </w:t>
      </w:r>
      <w:r w:rsidRPr="00EB7B29">
        <w:rPr>
          <w:b/>
          <w:bCs/>
          <w:sz w:val="24"/>
          <w:szCs w:val="24"/>
        </w:rPr>
        <w:t>1885</w:t>
      </w:r>
      <w:r w:rsidR="000434A2">
        <w:rPr>
          <w:b/>
          <w:bCs/>
          <w:sz w:val="24"/>
          <w:szCs w:val="24"/>
        </w:rPr>
        <w:t>,</w:t>
      </w:r>
      <w:r w:rsidRPr="00EB7B29">
        <w:rPr>
          <w:b/>
          <w:bCs/>
          <w:sz w:val="24"/>
          <w:szCs w:val="24"/>
        </w:rPr>
        <w:t xml:space="preserve"> </w:t>
      </w:r>
      <w:r w:rsidRPr="000434A2">
        <w:rPr>
          <w:sz w:val="24"/>
          <w:szCs w:val="24"/>
        </w:rPr>
        <w:t>av</w:t>
      </w:r>
      <w:r>
        <w:rPr>
          <w:sz w:val="24"/>
          <w:szCs w:val="24"/>
        </w:rPr>
        <w:t xml:space="preserve">eva spinto il governo inglese ad attuare </w:t>
      </w:r>
      <w:r w:rsidRPr="00EB7B29">
        <w:rPr>
          <w:b/>
          <w:bCs/>
          <w:sz w:val="24"/>
          <w:szCs w:val="24"/>
        </w:rPr>
        <w:t xml:space="preserve">nel 1919 una riforma costituzionale </w:t>
      </w:r>
      <w:r>
        <w:rPr>
          <w:sz w:val="24"/>
          <w:szCs w:val="24"/>
        </w:rPr>
        <w:t>che avrebbe rappresentato il primo passo per autogoverno</w:t>
      </w:r>
      <w:r w:rsidR="000434A2">
        <w:rPr>
          <w:sz w:val="24"/>
          <w:szCs w:val="24"/>
        </w:rPr>
        <w:t>,</w:t>
      </w:r>
      <w:r>
        <w:rPr>
          <w:sz w:val="24"/>
          <w:szCs w:val="24"/>
        </w:rPr>
        <w:t xml:space="preserve"> ma le </w:t>
      </w:r>
      <w:r w:rsidRPr="00EB7B29">
        <w:rPr>
          <w:b/>
          <w:bCs/>
          <w:sz w:val="24"/>
          <w:szCs w:val="24"/>
        </w:rPr>
        <w:t>leggi Rowlatt</w:t>
      </w:r>
      <w:r>
        <w:rPr>
          <w:sz w:val="24"/>
          <w:szCs w:val="24"/>
        </w:rPr>
        <w:t xml:space="preserve"> che concedevano ai governatori di reprimere cospirazioni e movimenti insurrezionali</w:t>
      </w:r>
      <w:r w:rsidR="000434A2">
        <w:rPr>
          <w:sz w:val="24"/>
          <w:szCs w:val="24"/>
        </w:rPr>
        <w:t>,</w:t>
      </w:r>
      <w:r>
        <w:rPr>
          <w:sz w:val="24"/>
          <w:szCs w:val="24"/>
        </w:rPr>
        <w:t xml:space="preserve"> avevano generato una forte opposizione negli indipendentisti  e Ghandi aveva organizzato la sua </w:t>
      </w:r>
      <w:r w:rsidRPr="00EB7B29">
        <w:rPr>
          <w:sz w:val="24"/>
          <w:szCs w:val="24"/>
        </w:rPr>
        <w:t>prima campagna di resistenza passiva che si sarebbe ripetuta nel 1931</w:t>
      </w:r>
      <w:r>
        <w:rPr>
          <w:sz w:val="24"/>
          <w:szCs w:val="24"/>
        </w:rPr>
        <w:t xml:space="preserve"> costringendo il  governo inglese  ad una tavola rotonda che lasciò aperto il </w:t>
      </w:r>
      <w:proofErr w:type="spellStart"/>
      <w:r>
        <w:rPr>
          <w:sz w:val="24"/>
          <w:szCs w:val="24"/>
        </w:rPr>
        <w:t>problem</w:t>
      </w:r>
      <w:r w:rsidR="000434A2">
        <w:rPr>
          <w:sz w:val="24"/>
          <w:szCs w:val="24"/>
        </w:rPr>
        <w:t>,</w:t>
      </w:r>
      <w:r>
        <w:rPr>
          <w:sz w:val="24"/>
          <w:szCs w:val="24"/>
        </w:rPr>
        <w:t>a</w:t>
      </w:r>
      <w:proofErr w:type="spellEnd"/>
      <w:r>
        <w:rPr>
          <w:sz w:val="24"/>
          <w:szCs w:val="24"/>
        </w:rPr>
        <w:t xml:space="preserve"> anche a causa della divisione interna dello stesso Partito del Progresso sul tema del “rifiuto del progresso” e della posizione strettamente induista di Ghandi. </w:t>
      </w:r>
    </w:p>
    <w:p w14:paraId="752E8012" w14:textId="7CC6B638" w:rsidR="00E45960" w:rsidRDefault="00E45960" w:rsidP="00E45960">
      <w:pPr>
        <w:rPr>
          <w:sz w:val="24"/>
          <w:szCs w:val="24"/>
        </w:rPr>
      </w:pPr>
      <w:r>
        <w:rPr>
          <w:sz w:val="24"/>
          <w:szCs w:val="24"/>
        </w:rPr>
        <w:t xml:space="preserve">L’altra area in cui si stavano aprendo seri problemi di governo era quella </w:t>
      </w:r>
      <w:r w:rsidRPr="000434A2">
        <w:rPr>
          <w:b/>
          <w:bCs/>
          <w:sz w:val="24"/>
          <w:szCs w:val="24"/>
        </w:rPr>
        <w:t>Mediorientale</w:t>
      </w:r>
      <w:r>
        <w:rPr>
          <w:sz w:val="24"/>
          <w:szCs w:val="24"/>
        </w:rPr>
        <w:t xml:space="preserve"> passat</w:t>
      </w:r>
      <w:r w:rsidR="000434A2">
        <w:rPr>
          <w:sz w:val="24"/>
          <w:szCs w:val="24"/>
        </w:rPr>
        <w:t>a</w:t>
      </w:r>
      <w:r>
        <w:rPr>
          <w:sz w:val="24"/>
          <w:szCs w:val="24"/>
        </w:rPr>
        <w:t xml:space="preserve"> in mano a Francesi ed Inglesi in seguito allo smembramento dell’ex Impero Ottomano e alla istituzione dei “mandati”. Come è noto la Francia aveva ottenuto il mandato su Siria e Libano, l’Inghilterra sulla </w:t>
      </w:r>
      <w:r w:rsidRPr="00EB7B29">
        <w:rPr>
          <w:b/>
          <w:bCs/>
          <w:sz w:val="24"/>
          <w:szCs w:val="24"/>
        </w:rPr>
        <w:t xml:space="preserve">Palestina </w:t>
      </w:r>
      <w:r>
        <w:rPr>
          <w:sz w:val="24"/>
          <w:szCs w:val="24"/>
        </w:rPr>
        <w:t xml:space="preserve">e sulla </w:t>
      </w:r>
      <w:r w:rsidRPr="000434A2">
        <w:rPr>
          <w:b/>
          <w:bCs/>
          <w:sz w:val="24"/>
          <w:szCs w:val="24"/>
        </w:rPr>
        <w:t>Mesopotamia</w:t>
      </w:r>
      <w:r>
        <w:rPr>
          <w:sz w:val="24"/>
          <w:szCs w:val="24"/>
        </w:rPr>
        <w:t xml:space="preserve">. Nella zona Inglese erano stati creati nel 1921 </w:t>
      </w:r>
      <w:r w:rsidRPr="00EB7B29">
        <w:rPr>
          <w:b/>
          <w:bCs/>
          <w:sz w:val="24"/>
          <w:szCs w:val="24"/>
        </w:rPr>
        <w:t>l’</w:t>
      </w:r>
      <w:proofErr w:type="spellStart"/>
      <w:r w:rsidRPr="00EB7B29">
        <w:rPr>
          <w:b/>
          <w:bCs/>
          <w:sz w:val="24"/>
          <w:szCs w:val="24"/>
        </w:rPr>
        <w:t>Irak</w:t>
      </w:r>
      <w:proofErr w:type="spellEnd"/>
      <w:r w:rsidRPr="00EB7B29">
        <w:rPr>
          <w:b/>
          <w:bCs/>
          <w:sz w:val="24"/>
          <w:szCs w:val="24"/>
        </w:rPr>
        <w:t xml:space="preserve"> s</w:t>
      </w:r>
      <w:r>
        <w:rPr>
          <w:sz w:val="24"/>
          <w:szCs w:val="24"/>
        </w:rPr>
        <w:t xml:space="preserve">ul cui trono era stato posto l’emiro </w:t>
      </w:r>
      <w:r w:rsidRPr="00EB7B29">
        <w:rPr>
          <w:b/>
          <w:bCs/>
          <w:sz w:val="24"/>
          <w:szCs w:val="24"/>
        </w:rPr>
        <w:t>Feisal</w:t>
      </w:r>
      <w:r>
        <w:rPr>
          <w:sz w:val="24"/>
          <w:szCs w:val="24"/>
        </w:rPr>
        <w:t xml:space="preserve"> e nel 1923 il </w:t>
      </w:r>
      <w:r w:rsidRPr="00EB7B29">
        <w:rPr>
          <w:b/>
          <w:bCs/>
          <w:sz w:val="24"/>
          <w:szCs w:val="24"/>
        </w:rPr>
        <w:t>Regno di Transgiordania</w:t>
      </w:r>
      <w:r w:rsidR="000434A2">
        <w:rPr>
          <w:b/>
          <w:bCs/>
          <w:sz w:val="24"/>
          <w:szCs w:val="24"/>
        </w:rPr>
        <w:t>,</w:t>
      </w:r>
      <w:r w:rsidRPr="00EB7B29">
        <w:rPr>
          <w:b/>
          <w:bCs/>
          <w:sz w:val="24"/>
          <w:szCs w:val="24"/>
        </w:rPr>
        <w:t xml:space="preserve"> affidato all’emiro Abdullah</w:t>
      </w:r>
      <w:r>
        <w:rPr>
          <w:sz w:val="24"/>
          <w:szCs w:val="24"/>
        </w:rPr>
        <w:t xml:space="preserve">. </w:t>
      </w:r>
    </w:p>
    <w:p w14:paraId="13F43032" w14:textId="6B0AC415" w:rsidR="00E45960" w:rsidRDefault="00E45960" w:rsidP="00E45960">
      <w:pPr>
        <w:rPr>
          <w:sz w:val="24"/>
          <w:szCs w:val="24"/>
        </w:rPr>
      </w:pPr>
      <w:r w:rsidRPr="00EB7B29">
        <w:rPr>
          <w:b/>
          <w:bCs/>
          <w:sz w:val="24"/>
          <w:szCs w:val="24"/>
        </w:rPr>
        <w:t>Nel 1925</w:t>
      </w:r>
      <w:r>
        <w:rPr>
          <w:sz w:val="24"/>
          <w:szCs w:val="24"/>
        </w:rPr>
        <w:t xml:space="preserve"> al protettorato inglese si ribellò </w:t>
      </w:r>
      <w:r w:rsidRPr="00EB7B29">
        <w:rPr>
          <w:b/>
          <w:bCs/>
          <w:sz w:val="24"/>
          <w:szCs w:val="24"/>
        </w:rPr>
        <w:t>l’Iran (Persia</w:t>
      </w:r>
      <w:r>
        <w:rPr>
          <w:sz w:val="24"/>
          <w:szCs w:val="24"/>
        </w:rPr>
        <w:t xml:space="preserve">) sotto la guida del generale </w:t>
      </w:r>
      <w:r w:rsidRPr="00EB7B29">
        <w:rPr>
          <w:b/>
          <w:bCs/>
          <w:sz w:val="24"/>
          <w:szCs w:val="24"/>
        </w:rPr>
        <w:t>Reza Phalevi</w:t>
      </w:r>
      <w:r>
        <w:rPr>
          <w:sz w:val="24"/>
          <w:szCs w:val="24"/>
        </w:rPr>
        <w:t xml:space="preserve"> che proclamatosi Scià</w:t>
      </w:r>
      <w:r w:rsidR="000434A2">
        <w:rPr>
          <w:sz w:val="24"/>
          <w:szCs w:val="24"/>
        </w:rPr>
        <w:t>,</w:t>
      </w:r>
      <w:r>
        <w:rPr>
          <w:sz w:val="24"/>
          <w:szCs w:val="24"/>
        </w:rPr>
        <w:t xml:space="preserve"> tolse l’autorità politica agli inglesi pur mantenendo le concessioni petrolifere. </w:t>
      </w:r>
    </w:p>
    <w:p w14:paraId="19E9B92C" w14:textId="77777777" w:rsidR="00E45960" w:rsidRDefault="00E45960" w:rsidP="00E45960">
      <w:pPr>
        <w:rPr>
          <w:sz w:val="24"/>
          <w:szCs w:val="24"/>
        </w:rPr>
      </w:pPr>
      <w:r w:rsidRPr="00EB7B29">
        <w:rPr>
          <w:b/>
          <w:bCs/>
          <w:sz w:val="24"/>
          <w:szCs w:val="24"/>
        </w:rPr>
        <w:t>In Arabia nel 1927</w:t>
      </w:r>
      <w:r>
        <w:rPr>
          <w:sz w:val="24"/>
          <w:szCs w:val="24"/>
        </w:rPr>
        <w:t xml:space="preserve"> gli Inglesi furono costretti a riconoscere come sovrano lo sceicco </w:t>
      </w:r>
      <w:r w:rsidRPr="00EB7B29">
        <w:rPr>
          <w:b/>
          <w:bCs/>
          <w:sz w:val="24"/>
          <w:szCs w:val="24"/>
        </w:rPr>
        <w:t>Ibn Saud</w:t>
      </w:r>
      <w:r>
        <w:rPr>
          <w:sz w:val="24"/>
          <w:szCs w:val="24"/>
        </w:rPr>
        <w:t xml:space="preserve"> pur conservando il controllo/influenza sul protettorato di </w:t>
      </w:r>
      <w:r w:rsidRPr="00EB7B29">
        <w:rPr>
          <w:b/>
          <w:bCs/>
          <w:sz w:val="24"/>
          <w:szCs w:val="24"/>
        </w:rPr>
        <w:t>Aden, nello Yemen e de</w:t>
      </w:r>
      <w:r>
        <w:rPr>
          <w:b/>
          <w:bCs/>
          <w:sz w:val="24"/>
          <w:szCs w:val="24"/>
        </w:rPr>
        <w:t>i</w:t>
      </w:r>
      <w:r w:rsidRPr="00EB7B29">
        <w:rPr>
          <w:b/>
          <w:bCs/>
          <w:sz w:val="24"/>
          <w:szCs w:val="24"/>
        </w:rPr>
        <w:t xml:space="preserve"> principati del Golfo Persico (Emirati).</w:t>
      </w:r>
      <w:r>
        <w:rPr>
          <w:sz w:val="24"/>
          <w:szCs w:val="24"/>
        </w:rPr>
        <w:t xml:space="preserve"> In questo complesso quadro si insinuò anche la questione sionista. (a voce)</w:t>
      </w:r>
    </w:p>
    <w:p w14:paraId="367179A4" w14:textId="218DD2D9" w:rsidR="00E45960" w:rsidRDefault="00E45960" w:rsidP="00E45960">
      <w:pPr>
        <w:rPr>
          <w:sz w:val="24"/>
          <w:szCs w:val="24"/>
        </w:rPr>
      </w:pPr>
      <w:r>
        <w:rPr>
          <w:sz w:val="24"/>
          <w:szCs w:val="24"/>
        </w:rPr>
        <w:t xml:space="preserve">L’Inghilterra dovette anche affrontare il </w:t>
      </w:r>
      <w:r w:rsidRPr="00EB7B29">
        <w:rPr>
          <w:b/>
          <w:bCs/>
          <w:sz w:val="24"/>
          <w:szCs w:val="24"/>
        </w:rPr>
        <w:t>problema egiziano occupato fin dal</w:t>
      </w:r>
      <w:r>
        <w:rPr>
          <w:sz w:val="24"/>
          <w:szCs w:val="24"/>
        </w:rPr>
        <w:t xml:space="preserve"> 1882 e dove si era sviluppato </w:t>
      </w:r>
      <w:r w:rsidRPr="00EB7B29">
        <w:rPr>
          <w:b/>
          <w:bCs/>
          <w:sz w:val="24"/>
          <w:szCs w:val="24"/>
        </w:rPr>
        <w:t xml:space="preserve">il movimento indipendentistico </w:t>
      </w:r>
      <w:proofErr w:type="spellStart"/>
      <w:r w:rsidRPr="00EB7B29">
        <w:rPr>
          <w:b/>
          <w:bCs/>
          <w:sz w:val="24"/>
          <w:szCs w:val="24"/>
        </w:rPr>
        <w:t>Wafd</w:t>
      </w:r>
      <w:proofErr w:type="spellEnd"/>
      <w:r>
        <w:rPr>
          <w:sz w:val="24"/>
          <w:szCs w:val="24"/>
        </w:rPr>
        <w:t xml:space="preserve"> che costrinse di fatto gli inglesi a riconoscere nel </w:t>
      </w:r>
      <w:r w:rsidRPr="000434A2">
        <w:rPr>
          <w:b/>
          <w:bCs/>
          <w:sz w:val="24"/>
          <w:szCs w:val="24"/>
        </w:rPr>
        <w:t>1922 l’indipendenza dell’Egitto</w:t>
      </w:r>
      <w:r>
        <w:rPr>
          <w:sz w:val="24"/>
          <w:szCs w:val="24"/>
        </w:rPr>
        <w:t xml:space="preserve"> e</w:t>
      </w:r>
      <w:r w:rsidR="000434A2">
        <w:rPr>
          <w:sz w:val="24"/>
          <w:szCs w:val="24"/>
        </w:rPr>
        <w:t>,</w:t>
      </w:r>
      <w:r>
        <w:rPr>
          <w:sz w:val="24"/>
          <w:szCs w:val="24"/>
        </w:rPr>
        <w:t xml:space="preserve"> </w:t>
      </w:r>
      <w:r w:rsidR="000434A2">
        <w:rPr>
          <w:sz w:val="24"/>
          <w:szCs w:val="24"/>
        </w:rPr>
        <w:t xml:space="preserve">come </w:t>
      </w:r>
      <w:r>
        <w:rPr>
          <w:sz w:val="24"/>
          <w:szCs w:val="24"/>
        </w:rPr>
        <w:t>suo re</w:t>
      </w:r>
      <w:r w:rsidR="000434A2">
        <w:rPr>
          <w:sz w:val="24"/>
          <w:szCs w:val="24"/>
        </w:rPr>
        <w:t>,</w:t>
      </w:r>
      <w:r>
        <w:rPr>
          <w:sz w:val="24"/>
          <w:szCs w:val="24"/>
        </w:rPr>
        <w:t xml:space="preserve"> </w:t>
      </w:r>
      <w:r w:rsidRPr="00EB7B29">
        <w:rPr>
          <w:b/>
          <w:bCs/>
          <w:sz w:val="24"/>
          <w:szCs w:val="24"/>
        </w:rPr>
        <w:t>Faud.</w:t>
      </w:r>
      <w:r>
        <w:rPr>
          <w:sz w:val="24"/>
          <w:szCs w:val="24"/>
        </w:rPr>
        <w:t xml:space="preserve"> Indipendenza relativa</w:t>
      </w:r>
      <w:r w:rsidR="000434A2">
        <w:rPr>
          <w:sz w:val="24"/>
          <w:szCs w:val="24"/>
        </w:rPr>
        <w:t>,</w:t>
      </w:r>
      <w:r>
        <w:rPr>
          <w:sz w:val="24"/>
          <w:szCs w:val="24"/>
        </w:rPr>
        <w:t xml:space="preserve"> se si tiene presente che comunque la Gran Bretagna manteneva l’occupazione militare della zona intorno al Canale di Suez.</w:t>
      </w:r>
    </w:p>
    <w:p w14:paraId="3A546C4F" w14:textId="72F6C78D" w:rsidR="00E45960" w:rsidRDefault="00E45960" w:rsidP="00E45960">
      <w:pPr>
        <w:rPr>
          <w:i/>
          <w:iCs/>
          <w:sz w:val="24"/>
          <w:szCs w:val="24"/>
        </w:rPr>
      </w:pPr>
      <w:r>
        <w:rPr>
          <w:sz w:val="24"/>
          <w:szCs w:val="24"/>
        </w:rPr>
        <w:t xml:space="preserve">Un'altra tappa nel processo di smobilitazione dell’Impero Britannico fu rappresentata dalla </w:t>
      </w:r>
      <w:r w:rsidRPr="001F3ACD">
        <w:rPr>
          <w:b/>
          <w:bCs/>
          <w:sz w:val="24"/>
          <w:szCs w:val="24"/>
        </w:rPr>
        <w:t>Conferenza imperiale che si tenne a Londra nel 1926</w:t>
      </w:r>
      <w:r>
        <w:rPr>
          <w:sz w:val="24"/>
          <w:szCs w:val="24"/>
        </w:rPr>
        <w:t xml:space="preserve"> e nella quale i </w:t>
      </w:r>
      <w:r w:rsidRPr="00EB7B29">
        <w:rPr>
          <w:b/>
          <w:bCs/>
          <w:sz w:val="24"/>
          <w:szCs w:val="24"/>
        </w:rPr>
        <w:t>dominions bianchi</w:t>
      </w:r>
      <w:r>
        <w:rPr>
          <w:sz w:val="24"/>
          <w:szCs w:val="24"/>
        </w:rPr>
        <w:t xml:space="preserve"> (Canada, Sudafrica, Australia) che già in condizione di semi indipendenza   avevano partecipato alle Conferenze di pace seguite alla Prima Guerra Mondiale, furono riconosciuti come “</w:t>
      </w:r>
      <w:r w:rsidRPr="00E90D8C">
        <w:rPr>
          <w:i/>
          <w:iCs/>
          <w:sz w:val="24"/>
          <w:szCs w:val="24"/>
        </w:rPr>
        <w:t xml:space="preserve">comunità </w:t>
      </w:r>
      <w:r w:rsidRPr="00E90D8C">
        <w:rPr>
          <w:i/>
          <w:iCs/>
          <w:sz w:val="24"/>
          <w:szCs w:val="24"/>
        </w:rPr>
        <w:lastRenderedPageBreak/>
        <w:t xml:space="preserve">autonome ed eguali in seno all’ Impero” e “liberamente associate come membri del </w:t>
      </w:r>
      <w:proofErr w:type="spellStart"/>
      <w:r w:rsidRPr="00E90D8C">
        <w:rPr>
          <w:i/>
          <w:iCs/>
          <w:sz w:val="24"/>
          <w:szCs w:val="24"/>
        </w:rPr>
        <w:t>Commonwealt</w:t>
      </w:r>
      <w:proofErr w:type="spellEnd"/>
      <w:r w:rsidRPr="00E90D8C">
        <w:rPr>
          <w:i/>
          <w:iCs/>
          <w:sz w:val="24"/>
          <w:szCs w:val="24"/>
        </w:rPr>
        <w:t xml:space="preserve"> britannico”</w:t>
      </w:r>
    </w:p>
    <w:p w14:paraId="53CBE379" w14:textId="77777777" w:rsidR="00E45960" w:rsidRPr="00EC3C09" w:rsidRDefault="00E45960" w:rsidP="00E45960">
      <w:pPr>
        <w:rPr>
          <w:b/>
          <w:bCs/>
          <w:sz w:val="24"/>
          <w:szCs w:val="24"/>
        </w:rPr>
      </w:pPr>
      <w:r w:rsidRPr="00EC3C09">
        <w:rPr>
          <w:b/>
          <w:bCs/>
          <w:sz w:val="24"/>
          <w:szCs w:val="24"/>
        </w:rPr>
        <w:t>LA SITUAZIONE EUROPEA</w:t>
      </w:r>
    </w:p>
    <w:p w14:paraId="4FE26B74" w14:textId="09C367AC" w:rsidR="00E45960" w:rsidRDefault="00E45960" w:rsidP="00E45960">
      <w:pPr>
        <w:rPr>
          <w:sz w:val="24"/>
          <w:szCs w:val="24"/>
        </w:rPr>
      </w:pPr>
      <w:r>
        <w:rPr>
          <w:sz w:val="24"/>
          <w:szCs w:val="24"/>
        </w:rPr>
        <w:t xml:space="preserve">Non meno complicata diventava la situazione Europea.  Gli ultimi “venti di pace” si erano registrati negli anni 25- 28 con i </w:t>
      </w:r>
      <w:r w:rsidRPr="00635D88">
        <w:rPr>
          <w:b/>
          <w:bCs/>
          <w:sz w:val="24"/>
          <w:szCs w:val="24"/>
        </w:rPr>
        <w:t>patti di Locarno (1925</w:t>
      </w:r>
      <w:r>
        <w:rPr>
          <w:sz w:val="24"/>
          <w:szCs w:val="24"/>
        </w:rPr>
        <w:t xml:space="preserve">) e il </w:t>
      </w:r>
      <w:r w:rsidRPr="00635D88">
        <w:rPr>
          <w:b/>
          <w:bCs/>
          <w:sz w:val="24"/>
          <w:szCs w:val="24"/>
        </w:rPr>
        <w:t>patto Kellog- Briand (1928)</w:t>
      </w:r>
      <w:r>
        <w:rPr>
          <w:sz w:val="24"/>
          <w:szCs w:val="24"/>
        </w:rPr>
        <w:t>. La crisi del ’29 con i suoi effetti devastanti</w:t>
      </w:r>
      <w:r w:rsidR="00635D88">
        <w:rPr>
          <w:sz w:val="24"/>
          <w:szCs w:val="24"/>
        </w:rPr>
        <w:t>,</w:t>
      </w:r>
      <w:r>
        <w:rPr>
          <w:sz w:val="24"/>
          <w:szCs w:val="24"/>
        </w:rPr>
        <w:t xml:space="preserve"> aveva profondamente mutato il clima internazionale ed europeo. Dopo il consolidamento del Fascismo in Italia, si era affermato il Nazismo in Germania; in tutta una serie di altri paesi si erano </w:t>
      </w:r>
      <w:r w:rsidR="00635D88">
        <w:rPr>
          <w:sz w:val="24"/>
          <w:szCs w:val="24"/>
        </w:rPr>
        <w:t>affermati</w:t>
      </w:r>
      <w:r>
        <w:rPr>
          <w:sz w:val="24"/>
          <w:szCs w:val="24"/>
        </w:rPr>
        <w:t xml:space="preserve"> regimi autoritari di tipo fascista (Ungheria con Horty, in Polonia con Pilsudski) ed in altri la destra vedeva accrescere il consenso la capacità di condizionare i governi (Austria, Romania, Grecia, Bulgaria. L’ ascesa di Hitler, l’attacco italiano all’ Etiopia, la Guerra civile di Spagna, l’</w:t>
      </w:r>
      <w:proofErr w:type="spellStart"/>
      <w:r>
        <w:rPr>
          <w:sz w:val="24"/>
          <w:szCs w:val="24"/>
        </w:rPr>
        <w:t>Aschluss</w:t>
      </w:r>
      <w:proofErr w:type="spellEnd"/>
      <w:r>
        <w:rPr>
          <w:sz w:val="24"/>
          <w:szCs w:val="24"/>
        </w:rPr>
        <w:t>, il riarmo accelerato tedesco, la questione di Danzica e dei Sudeti</w:t>
      </w:r>
      <w:r w:rsidR="00635D88">
        <w:rPr>
          <w:sz w:val="24"/>
          <w:szCs w:val="24"/>
        </w:rPr>
        <w:t>,</w:t>
      </w:r>
      <w:r>
        <w:rPr>
          <w:sz w:val="24"/>
          <w:szCs w:val="24"/>
        </w:rPr>
        <w:t xml:space="preserve"> la saldatura fra Italia e Germania diventavano gli anelli di una catena che avrebbe portato alla Seconda guerra Mondiale allontanata solo momentaneamente dagli Accordi di Monaco del 1938.  Nel frattempo la corona inglese passò dalle mani di </w:t>
      </w:r>
      <w:r w:rsidRPr="00E90D8C">
        <w:rPr>
          <w:b/>
          <w:bCs/>
          <w:sz w:val="24"/>
          <w:szCs w:val="24"/>
        </w:rPr>
        <w:t>Edoardo VIII</w:t>
      </w:r>
      <w:r>
        <w:rPr>
          <w:sz w:val="24"/>
          <w:szCs w:val="24"/>
        </w:rPr>
        <w:t xml:space="preserve"> che regnò meno di un anno (20 gennaio ’36 – 11 dicembre ’36) e passato alla storia per la sua abdicazione causata dallo sposalizio con la divorziata americana </w:t>
      </w:r>
      <w:r w:rsidRPr="00E90D8C">
        <w:rPr>
          <w:b/>
          <w:bCs/>
          <w:sz w:val="24"/>
          <w:szCs w:val="24"/>
        </w:rPr>
        <w:t>Willis Simpson</w:t>
      </w:r>
      <w:r w:rsidR="00635D88">
        <w:rPr>
          <w:b/>
          <w:bCs/>
          <w:sz w:val="24"/>
          <w:szCs w:val="24"/>
        </w:rPr>
        <w:t>,</w:t>
      </w:r>
      <w:r>
        <w:rPr>
          <w:sz w:val="24"/>
          <w:szCs w:val="24"/>
        </w:rPr>
        <w:t xml:space="preserve"> a quelle di </w:t>
      </w:r>
      <w:r w:rsidRPr="00E90D8C">
        <w:rPr>
          <w:b/>
          <w:bCs/>
          <w:sz w:val="24"/>
          <w:szCs w:val="24"/>
        </w:rPr>
        <w:t>Giorgio V</w:t>
      </w:r>
      <w:r>
        <w:rPr>
          <w:sz w:val="24"/>
          <w:szCs w:val="24"/>
        </w:rPr>
        <w:t xml:space="preserve"> che guidò l’Inghilterra durante il secondo conflitto mondiale e nei primi anni del dopoguerra</w:t>
      </w:r>
    </w:p>
    <w:p w14:paraId="3C411A75" w14:textId="77777777" w:rsidR="00E45960" w:rsidRPr="00EC3C09" w:rsidRDefault="00E45960" w:rsidP="00E45960">
      <w:pPr>
        <w:jc w:val="center"/>
        <w:rPr>
          <w:b/>
          <w:bCs/>
          <w:sz w:val="24"/>
          <w:szCs w:val="24"/>
        </w:rPr>
      </w:pPr>
      <w:r w:rsidRPr="00EC3C09">
        <w:rPr>
          <w:b/>
          <w:bCs/>
          <w:sz w:val="24"/>
          <w:szCs w:val="24"/>
        </w:rPr>
        <w:t>LA SECONDA GUERRA MONDIALE</w:t>
      </w:r>
    </w:p>
    <w:p w14:paraId="28A0C1C3" w14:textId="286CD501" w:rsidR="00E45960" w:rsidRDefault="00E45960" w:rsidP="00E45960">
      <w:pPr>
        <w:rPr>
          <w:sz w:val="24"/>
          <w:szCs w:val="24"/>
        </w:rPr>
      </w:pPr>
      <w:r>
        <w:rPr>
          <w:sz w:val="24"/>
          <w:szCs w:val="24"/>
        </w:rPr>
        <w:t>L’attacco allo Polonia (1° settembre 1939) diede inizio alla Seconda guerra Mondiale   che già nel maggio-giugno del 1940 vedeva, dopo la conquista di Parigi, la sola Inghilterra guidata dal primo ministro Winston Churchill</w:t>
      </w:r>
      <w:r w:rsidR="00635D88">
        <w:rPr>
          <w:sz w:val="24"/>
          <w:szCs w:val="24"/>
        </w:rPr>
        <w:t>,</w:t>
      </w:r>
      <w:r>
        <w:rPr>
          <w:sz w:val="24"/>
          <w:szCs w:val="24"/>
        </w:rPr>
        <w:t xml:space="preserve"> pronta a resistere alla pressione tedesca e a mandare a vuoto l’operazione L</w:t>
      </w:r>
      <w:r>
        <w:rPr>
          <w:i/>
          <w:iCs/>
          <w:sz w:val="24"/>
          <w:szCs w:val="24"/>
        </w:rPr>
        <w:t>eone Marino</w:t>
      </w:r>
      <w:r>
        <w:rPr>
          <w:sz w:val="24"/>
          <w:szCs w:val="24"/>
        </w:rPr>
        <w:t xml:space="preserve">. L’Inghilterra poteva contare ancora su una potente flotta e sugli aiuti dei paesi del Commonwealth. Sarà tuttavia l’appoggio americano, prima attraverso la </w:t>
      </w:r>
      <w:r w:rsidRPr="00635D88">
        <w:rPr>
          <w:b/>
          <w:bCs/>
          <w:sz w:val="24"/>
          <w:szCs w:val="24"/>
        </w:rPr>
        <w:t>legge affitti e prestiti</w:t>
      </w:r>
      <w:r>
        <w:rPr>
          <w:sz w:val="24"/>
          <w:szCs w:val="24"/>
        </w:rPr>
        <w:t xml:space="preserve">, poi nell’agosto del 1941 con la firma </w:t>
      </w:r>
      <w:r w:rsidRPr="00635D88">
        <w:rPr>
          <w:b/>
          <w:bCs/>
          <w:sz w:val="24"/>
          <w:szCs w:val="24"/>
        </w:rPr>
        <w:t>della Carta Atlantica</w:t>
      </w:r>
      <w:r>
        <w:rPr>
          <w:sz w:val="24"/>
          <w:szCs w:val="24"/>
        </w:rPr>
        <w:t xml:space="preserve"> ed infine nel 1942 con </w:t>
      </w:r>
      <w:r w:rsidRPr="00635D88">
        <w:rPr>
          <w:b/>
          <w:bCs/>
          <w:sz w:val="24"/>
          <w:szCs w:val="24"/>
        </w:rPr>
        <w:t>lo sbarco in Marocco e contemporaneamente la controffensiva russa a permetterle di resistere. Le</w:t>
      </w:r>
      <w:r>
        <w:rPr>
          <w:sz w:val="24"/>
          <w:szCs w:val="24"/>
        </w:rPr>
        <w:t xml:space="preserve"> forze inglesi combatterono non solo in Europa e in Africa del Nord, ma furono contemporaneamente occupate anche sul fronte del sud est asiatico contro il Giappone.</w:t>
      </w:r>
    </w:p>
    <w:p w14:paraId="54268FB7" w14:textId="77777777" w:rsidR="006D4AC5" w:rsidRDefault="006D4AC5"/>
    <w:sectPr w:rsidR="006D4AC5" w:rsidSect="00971893">
      <w:headerReference w:type="even" r:id="rId7"/>
      <w:headerReference w:type="default" r:id="rId8"/>
      <w:footerReference w:type="even" r:id="rId9"/>
      <w:footerReference w:type="default" r:id="rId10"/>
      <w:headerReference w:type="first" r:id="rId11"/>
      <w:footerReference w:type="first" r:id="rId12"/>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79AA" w14:textId="77777777" w:rsidR="00F511F0" w:rsidRDefault="00F511F0" w:rsidP="00E45960">
      <w:pPr>
        <w:spacing w:after="0" w:line="240" w:lineRule="auto"/>
      </w:pPr>
      <w:r>
        <w:separator/>
      </w:r>
    </w:p>
  </w:endnote>
  <w:endnote w:type="continuationSeparator" w:id="0">
    <w:p w14:paraId="32E0BED9" w14:textId="77777777" w:rsidR="00F511F0" w:rsidRDefault="00F511F0" w:rsidP="00E4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5F4F" w14:textId="77777777" w:rsidR="001A59F4" w:rsidRDefault="001A59F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825905"/>
      <w:docPartObj>
        <w:docPartGallery w:val="Page Numbers (Bottom of Page)"/>
        <w:docPartUnique/>
      </w:docPartObj>
    </w:sdtPr>
    <w:sdtEndPr/>
    <w:sdtContent>
      <w:p w14:paraId="7BD35E85" w14:textId="3F7E52CF" w:rsidR="001A59F4" w:rsidRDefault="001A59F4">
        <w:pPr>
          <w:pStyle w:val="Pidipagina"/>
          <w:jc w:val="center"/>
        </w:pPr>
        <w:r>
          <w:fldChar w:fldCharType="begin"/>
        </w:r>
        <w:r>
          <w:instrText>PAGE   \* MERGEFORMAT</w:instrText>
        </w:r>
        <w:r>
          <w:fldChar w:fldCharType="separate"/>
        </w:r>
        <w:r>
          <w:t>2</w:t>
        </w:r>
        <w:r>
          <w:fldChar w:fldCharType="end"/>
        </w:r>
      </w:p>
    </w:sdtContent>
  </w:sdt>
  <w:p w14:paraId="629FC151" w14:textId="77777777" w:rsidR="001A59F4" w:rsidRDefault="001A59F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C025" w14:textId="77777777" w:rsidR="001A59F4" w:rsidRDefault="001A59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DE09" w14:textId="77777777" w:rsidR="00F511F0" w:rsidRDefault="00F511F0" w:rsidP="00E45960">
      <w:pPr>
        <w:spacing w:after="0" w:line="240" w:lineRule="auto"/>
      </w:pPr>
      <w:r>
        <w:separator/>
      </w:r>
    </w:p>
  </w:footnote>
  <w:footnote w:type="continuationSeparator" w:id="0">
    <w:p w14:paraId="7E04C426" w14:textId="77777777" w:rsidR="00F511F0" w:rsidRDefault="00F511F0" w:rsidP="00E45960">
      <w:pPr>
        <w:spacing w:after="0" w:line="240" w:lineRule="auto"/>
      </w:pPr>
      <w:r>
        <w:continuationSeparator/>
      </w:r>
    </w:p>
  </w:footnote>
  <w:footnote w:id="1">
    <w:p w14:paraId="3A3625B7" w14:textId="77777777" w:rsidR="00E45960" w:rsidRPr="00F23440" w:rsidRDefault="00E45960" w:rsidP="00E45960">
      <w:pPr>
        <w:pStyle w:val="Testonotaapidipagina"/>
        <w:rPr>
          <w:i/>
          <w:iCs/>
        </w:rPr>
      </w:pPr>
      <w:r>
        <w:rPr>
          <w:rStyle w:val="Rimandonotaapidipagina"/>
        </w:rPr>
        <w:footnoteRef/>
      </w:r>
      <w:r>
        <w:t xml:space="preserve"> Nel 1893 a Bradford  fu fondato l’ Indipendent da Kein Hardie che lo presiedette fino al 1900. Nacque dall’unione di alcune associazioni socialiste con lo scopo si garantire al movimento operaio un’autonoma rappresentanza parlamentare. Si alleò con le Trade Unions e nel 1900 svolse un ruolo chiave nella fondazione del </w:t>
      </w:r>
      <w:r>
        <w:rPr>
          <w:i/>
          <w:iCs/>
        </w:rPr>
        <w:t xml:space="preserve">Labour Representation Committee </w:t>
      </w:r>
      <w:r>
        <w:t xml:space="preserve"> che nel 1906 assunse il nome di </w:t>
      </w:r>
      <w:r w:rsidRPr="00F23440">
        <w:rPr>
          <w:i/>
          <w:iCs/>
        </w:rPr>
        <w:t>Labour Party</w:t>
      </w:r>
    </w:p>
  </w:footnote>
  <w:footnote w:id="2">
    <w:p w14:paraId="4A51A915" w14:textId="77777777" w:rsidR="00E45960" w:rsidRPr="00376EF5" w:rsidRDefault="00E45960" w:rsidP="00E45960">
      <w:pPr>
        <w:pStyle w:val="Testonotaapidipagina"/>
        <w:rPr>
          <w:rFonts w:cstheme="minorHAnsi"/>
        </w:rPr>
      </w:pPr>
      <w:r>
        <w:rPr>
          <w:rStyle w:val="Rimandonotaapidipagina"/>
        </w:rPr>
        <w:footnoteRef/>
      </w:r>
      <w:r>
        <w:t xml:space="preserve"> </w:t>
      </w:r>
      <w:r w:rsidRPr="00376EF5">
        <w:rPr>
          <w:rFonts w:cstheme="minorHAnsi"/>
        </w:rPr>
        <w:t>N</w:t>
      </w:r>
      <w:r w:rsidRPr="00376EF5">
        <w:rPr>
          <w:rFonts w:cstheme="minorHAnsi"/>
          <w:color w:val="000000"/>
          <w:shd w:val="clear" w:color="auto" w:fill="FFFFFF"/>
        </w:rPr>
        <w:t>ell’insieme si considera comunemente costituzione inglese: l’</w:t>
      </w:r>
      <w:r w:rsidRPr="00376EF5">
        <w:rPr>
          <w:rFonts w:cstheme="minorHAnsi"/>
          <w:i/>
          <w:iCs/>
          <w:color w:val="000000"/>
          <w:shd w:val="clear" w:color="auto" w:fill="FFFFFF"/>
        </w:rPr>
        <w:t>Act of Settlement</w:t>
      </w:r>
      <w:r w:rsidRPr="00376EF5">
        <w:rPr>
          <w:rFonts w:cstheme="minorHAnsi"/>
          <w:color w:val="000000"/>
          <w:shd w:val="clear" w:color="auto" w:fill="FFFFFF"/>
        </w:rPr>
        <w:t> del 1701, che consolida i risultati “costituzionali” della Gloriosa rivoluzione, l’</w:t>
      </w:r>
      <w:r w:rsidRPr="00376EF5">
        <w:rPr>
          <w:rFonts w:cstheme="minorHAnsi"/>
          <w:i/>
          <w:iCs/>
          <w:color w:val="000000"/>
          <w:shd w:val="clear" w:color="auto" w:fill="FFFFFF"/>
        </w:rPr>
        <w:t>Act</w:t>
      </w:r>
      <w:r w:rsidRPr="00376EF5">
        <w:rPr>
          <w:rFonts w:cstheme="minorHAnsi"/>
          <w:color w:val="000000"/>
          <w:shd w:val="clear" w:color="auto" w:fill="FFFFFF"/>
        </w:rPr>
        <w:t> </w:t>
      </w:r>
      <w:r w:rsidRPr="00376EF5">
        <w:rPr>
          <w:rFonts w:cstheme="minorHAnsi"/>
          <w:i/>
          <w:iCs/>
          <w:color w:val="000000"/>
          <w:shd w:val="clear" w:color="auto" w:fill="FFFFFF"/>
        </w:rPr>
        <w:t>of Union</w:t>
      </w:r>
      <w:r w:rsidRPr="00376EF5">
        <w:rPr>
          <w:rFonts w:cstheme="minorHAnsi"/>
          <w:color w:val="000000"/>
          <w:shd w:val="clear" w:color="auto" w:fill="FFFFFF"/>
        </w:rPr>
        <w:t> del 1707 con cui si sancisce la nascita del Regno Unito</w:t>
      </w:r>
      <w:bookmarkStart w:id="0" w:name="_ftnref8"/>
      <w:r w:rsidRPr="00376EF5">
        <w:rPr>
          <w:rFonts w:cstheme="minorHAnsi"/>
        </w:rPr>
        <w:fldChar w:fldCharType="begin"/>
      </w:r>
      <w:r w:rsidRPr="00376EF5">
        <w:rPr>
          <w:rFonts w:cstheme="minorHAnsi"/>
        </w:rPr>
        <w:instrText>HYPERLINK "https://www.dirittoconsenso.it/2021/08/04/forma-di-governo-britannica-istituzioni-chiave/" \l "_ftn8"</w:instrText>
      </w:r>
      <w:r w:rsidRPr="00376EF5">
        <w:rPr>
          <w:rFonts w:cstheme="minorHAnsi"/>
        </w:rPr>
      </w:r>
      <w:r w:rsidRPr="00376EF5">
        <w:rPr>
          <w:rFonts w:cstheme="minorHAnsi"/>
        </w:rPr>
        <w:fldChar w:fldCharType="separate"/>
      </w:r>
      <w:r w:rsidRPr="00376EF5">
        <w:rPr>
          <w:rFonts w:cstheme="minorHAnsi"/>
          <w:color w:val="000000"/>
          <w:u w:val="single"/>
          <w:bdr w:val="none" w:sz="0" w:space="0" w:color="auto" w:frame="1"/>
          <w:shd w:val="clear" w:color="auto" w:fill="FFFFFF"/>
        </w:rPr>
        <w:t>[8]</w:t>
      </w:r>
      <w:r w:rsidRPr="00376EF5">
        <w:rPr>
          <w:rFonts w:cstheme="minorHAnsi"/>
        </w:rPr>
        <w:fldChar w:fldCharType="end"/>
      </w:r>
      <w:bookmarkEnd w:id="0"/>
      <w:r w:rsidRPr="00376EF5">
        <w:rPr>
          <w:rFonts w:cstheme="minorHAnsi"/>
          <w:color w:val="000000"/>
          <w:shd w:val="clear" w:color="auto" w:fill="FFFFFF"/>
        </w:rPr>
        <w:t>, il </w:t>
      </w:r>
      <w:r w:rsidRPr="00376EF5">
        <w:rPr>
          <w:rFonts w:cstheme="minorHAnsi"/>
          <w:i/>
          <w:iCs/>
          <w:color w:val="000000"/>
          <w:shd w:val="clear" w:color="auto" w:fill="FFFFFF"/>
        </w:rPr>
        <w:t>Great Reform Act</w:t>
      </w:r>
      <w:r w:rsidRPr="00376EF5">
        <w:rPr>
          <w:rFonts w:cstheme="minorHAnsi"/>
          <w:color w:val="000000"/>
          <w:shd w:val="clear" w:color="auto" w:fill="FFFFFF"/>
        </w:rPr>
        <w:t> del 1832, prima grande riforma elettorale, fino ai meno risalenti </w:t>
      </w:r>
      <w:r w:rsidRPr="00376EF5">
        <w:rPr>
          <w:rFonts w:cstheme="minorHAnsi"/>
          <w:i/>
          <w:iCs/>
          <w:color w:val="000000"/>
          <w:shd w:val="clear" w:color="auto" w:fill="FFFFFF"/>
        </w:rPr>
        <w:t>Human Rights Act</w:t>
      </w:r>
      <w:r w:rsidRPr="00376EF5">
        <w:rPr>
          <w:rFonts w:cstheme="minorHAnsi"/>
          <w:color w:val="000000"/>
          <w:shd w:val="clear" w:color="auto" w:fill="FFFFFF"/>
        </w:rPr>
        <w:t>, con il quale si formalizza l’ingresso nell’ordinamento inglese della Convenzione Europea sui Diritti dell’Uomo e </w:t>
      </w:r>
      <w:r w:rsidRPr="00376EF5">
        <w:rPr>
          <w:rFonts w:cstheme="minorHAnsi"/>
          <w:i/>
          <w:iCs/>
          <w:color w:val="000000"/>
          <w:shd w:val="clear" w:color="auto" w:fill="FFFFFF"/>
        </w:rPr>
        <w:t>House of Lords Act</w:t>
      </w:r>
      <w:r w:rsidRPr="00376EF5">
        <w:rPr>
          <w:rFonts w:cstheme="minorHAnsi"/>
          <w:color w:val="000000"/>
          <w:shd w:val="clear" w:color="auto" w:fill="FFFFFF"/>
        </w:rPr>
        <w:t> del 1999, che avvia l’eliminazione dell’ereditarietà del titolo di Lord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68B1" w14:textId="77777777" w:rsidR="001A59F4" w:rsidRDefault="001A59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1A59F4" w14:paraId="0E3854FE" w14:textId="77777777">
      <w:trPr>
        <w:jc w:val="center"/>
      </w:trPr>
      <w:sdt>
        <w:sdtPr>
          <w:rPr>
            <w:caps/>
            <w:color w:val="FFFFFF" w:themeColor="background1"/>
            <w:sz w:val="28"/>
            <w:szCs w:val="28"/>
          </w:rPr>
          <w:alias w:val="Titolo"/>
          <w:tag w:val=""/>
          <w:id w:val="126446070"/>
          <w:placeholder>
            <w:docPart w:val="E1361A88494F45428B5A91AAFD263E9A"/>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28EA9E6F" w14:textId="1454C998" w:rsidR="001A59F4" w:rsidRPr="001A59F4" w:rsidRDefault="001A59F4">
              <w:pPr>
                <w:pStyle w:val="Intestazione"/>
                <w:rPr>
                  <w:caps/>
                  <w:color w:val="FFFFFF" w:themeColor="background1"/>
                  <w:sz w:val="28"/>
                  <w:szCs w:val="28"/>
                </w:rPr>
              </w:pPr>
              <w:r w:rsidRPr="001A59F4">
                <w:rPr>
                  <w:caps/>
                  <w:color w:val="FFFFFF" w:themeColor="background1"/>
                  <w:sz w:val="28"/>
                  <w:szCs w:val="28"/>
                </w:rPr>
                <w:t>storiA dell’inghilterra  9° inc</w:t>
              </w:r>
            </w:p>
          </w:tc>
        </w:sdtContent>
      </w:sdt>
      <w:sdt>
        <w:sdtPr>
          <w:rPr>
            <w:caps/>
            <w:color w:val="FFFFFF" w:themeColor="background1"/>
            <w:sz w:val="28"/>
            <w:szCs w:val="28"/>
          </w:rPr>
          <w:alias w:val="Data"/>
          <w:tag w:val=""/>
          <w:id w:val="-1996566397"/>
          <w:placeholder>
            <w:docPart w:val="594300168D98477D8EE85EFCAE6F90CE"/>
          </w:placeholder>
          <w:dataBinding w:prefixMappings="xmlns:ns0='http://schemas.microsoft.com/office/2006/coverPageProps' " w:xpath="/ns0:CoverPageProperties[1]/ns0:PublishDate[1]" w:storeItemID="{55AF091B-3C7A-41E3-B477-F2FDAA23CFDA}"/>
          <w:date w:fullDate="2026-02-18T00:00:00Z">
            <w:dateFormat w:val="dd/MM/yyyy"/>
            <w:lid w:val="it-IT"/>
            <w:storeMappedDataAs w:val="dateTime"/>
            <w:calendar w:val="gregorian"/>
          </w:date>
        </w:sdtPr>
        <w:sdtEndPr/>
        <w:sdtContent>
          <w:tc>
            <w:tcPr>
              <w:tcW w:w="4674" w:type="dxa"/>
              <w:shd w:val="clear" w:color="auto" w:fill="ED7D31" w:themeFill="accent2"/>
              <w:vAlign w:val="center"/>
            </w:tcPr>
            <w:p w14:paraId="4BCCE349" w14:textId="1A4B2188" w:rsidR="001A59F4" w:rsidRPr="001A59F4" w:rsidRDefault="00BF7247">
              <w:pPr>
                <w:pStyle w:val="Intestazione"/>
                <w:jc w:val="right"/>
                <w:rPr>
                  <w:caps/>
                  <w:color w:val="FFFFFF" w:themeColor="background1"/>
                  <w:sz w:val="28"/>
                  <w:szCs w:val="28"/>
                </w:rPr>
              </w:pPr>
              <w:r>
                <w:rPr>
                  <w:caps/>
                  <w:color w:val="FFFFFF" w:themeColor="background1"/>
                  <w:sz w:val="28"/>
                  <w:szCs w:val="28"/>
                </w:rPr>
                <w:t>18/02/2026</w:t>
              </w:r>
            </w:p>
          </w:tc>
        </w:sdtContent>
      </w:sdt>
    </w:tr>
    <w:tr w:rsidR="001A59F4" w14:paraId="1F447786" w14:textId="77777777">
      <w:trPr>
        <w:trHeight w:hRule="exact" w:val="115"/>
        <w:jc w:val="center"/>
      </w:trPr>
      <w:tc>
        <w:tcPr>
          <w:tcW w:w="4686" w:type="dxa"/>
          <w:shd w:val="clear" w:color="auto" w:fill="4472C4" w:themeFill="accent1"/>
          <w:tcMar>
            <w:top w:w="0" w:type="dxa"/>
            <w:bottom w:w="0" w:type="dxa"/>
          </w:tcMar>
        </w:tcPr>
        <w:p w14:paraId="22215636" w14:textId="77777777" w:rsidR="001A59F4" w:rsidRDefault="001A59F4">
          <w:pPr>
            <w:pStyle w:val="Intestazione"/>
            <w:rPr>
              <w:caps/>
              <w:color w:val="FFFFFF" w:themeColor="background1"/>
              <w:sz w:val="18"/>
              <w:szCs w:val="18"/>
            </w:rPr>
          </w:pPr>
        </w:p>
      </w:tc>
      <w:tc>
        <w:tcPr>
          <w:tcW w:w="4674" w:type="dxa"/>
          <w:shd w:val="clear" w:color="auto" w:fill="4472C4" w:themeFill="accent1"/>
          <w:tcMar>
            <w:top w:w="0" w:type="dxa"/>
            <w:bottom w:w="0" w:type="dxa"/>
          </w:tcMar>
        </w:tcPr>
        <w:p w14:paraId="73F52976" w14:textId="77777777" w:rsidR="001A59F4" w:rsidRDefault="001A59F4">
          <w:pPr>
            <w:pStyle w:val="Intestazione"/>
            <w:rPr>
              <w:caps/>
              <w:color w:val="FFFFFF" w:themeColor="background1"/>
              <w:sz w:val="18"/>
              <w:szCs w:val="18"/>
            </w:rPr>
          </w:pPr>
        </w:p>
      </w:tc>
    </w:tr>
  </w:tbl>
  <w:p w14:paraId="0CEF2960" w14:textId="77777777" w:rsidR="001A59F4" w:rsidRDefault="001A59F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B39A" w14:textId="77777777" w:rsidR="001A59F4" w:rsidRDefault="001A59F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60"/>
    <w:rsid w:val="000434A2"/>
    <w:rsid w:val="00084B45"/>
    <w:rsid w:val="001A59F4"/>
    <w:rsid w:val="001F3AE2"/>
    <w:rsid w:val="0020548E"/>
    <w:rsid w:val="00461855"/>
    <w:rsid w:val="00635D88"/>
    <w:rsid w:val="006D4AC5"/>
    <w:rsid w:val="008361AE"/>
    <w:rsid w:val="008831F3"/>
    <w:rsid w:val="008B1FA2"/>
    <w:rsid w:val="00971893"/>
    <w:rsid w:val="00BF7247"/>
    <w:rsid w:val="00E45960"/>
    <w:rsid w:val="00F511F0"/>
    <w:rsid w:val="00FB72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6ACA"/>
  <w15:chartTrackingRefBased/>
  <w15:docId w15:val="{2BD3D4C6-2990-4AC9-BB58-FC192AE2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596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4596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5960"/>
    <w:rPr>
      <w:sz w:val="20"/>
      <w:szCs w:val="20"/>
    </w:rPr>
  </w:style>
  <w:style w:type="character" w:styleId="Rimandonotaapidipagina">
    <w:name w:val="footnote reference"/>
    <w:basedOn w:val="Carpredefinitoparagrafo"/>
    <w:uiPriority w:val="99"/>
    <w:semiHidden/>
    <w:unhideWhenUsed/>
    <w:rsid w:val="00E45960"/>
    <w:rPr>
      <w:vertAlign w:val="superscript"/>
    </w:rPr>
  </w:style>
  <w:style w:type="paragraph" w:styleId="Nessunaspaziatura">
    <w:name w:val="No Spacing"/>
    <w:uiPriority w:val="1"/>
    <w:qFormat/>
    <w:rsid w:val="00E45960"/>
    <w:pPr>
      <w:spacing w:after="0" w:line="240" w:lineRule="auto"/>
    </w:pPr>
  </w:style>
  <w:style w:type="paragraph" w:styleId="Intestazione">
    <w:name w:val="header"/>
    <w:basedOn w:val="Normale"/>
    <w:link w:val="IntestazioneCarattere"/>
    <w:uiPriority w:val="99"/>
    <w:unhideWhenUsed/>
    <w:rsid w:val="001A59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9F4"/>
  </w:style>
  <w:style w:type="paragraph" w:styleId="Pidipagina">
    <w:name w:val="footer"/>
    <w:basedOn w:val="Normale"/>
    <w:link w:val="PidipaginaCarattere"/>
    <w:uiPriority w:val="99"/>
    <w:unhideWhenUsed/>
    <w:rsid w:val="001A59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361A88494F45428B5A91AAFD263E9A"/>
        <w:category>
          <w:name w:val="Generale"/>
          <w:gallery w:val="placeholder"/>
        </w:category>
        <w:types>
          <w:type w:val="bbPlcHdr"/>
        </w:types>
        <w:behaviors>
          <w:behavior w:val="content"/>
        </w:behaviors>
        <w:guid w:val="{78B01598-A696-4CC7-8B03-2611E6A4400F}"/>
      </w:docPartPr>
      <w:docPartBody>
        <w:p w:rsidR="00B46545" w:rsidRDefault="00167139" w:rsidP="00167139">
          <w:pPr>
            <w:pStyle w:val="E1361A88494F45428B5A91AAFD263E9A"/>
          </w:pPr>
          <w:r>
            <w:rPr>
              <w:caps/>
              <w:color w:val="FFFFFF" w:themeColor="background1"/>
              <w:sz w:val="18"/>
              <w:szCs w:val="18"/>
            </w:rPr>
            <w:t>[Titolo del documento]</w:t>
          </w:r>
        </w:p>
      </w:docPartBody>
    </w:docPart>
    <w:docPart>
      <w:docPartPr>
        <w:name w:val="594300168D98477D8EE85EFCAE6F90CE"/>
        <w:category>
          <w:name w:val="Generale"/>
          <w:gallery w:val="placeholder"/>
        </w:category>
        <w:types>
          <w:type w:val="bbPlcHdr"/>
        </w:types>
        <w:behaviors>
          <w:behavior w:val="content"/>
        </w:behaviors>
        <w:guid w:val="{D2088A6D-2AD9-4853-AE22-B95989E7A3F8}"/>
      </w:docPartPr>
      <w:docPartBody>
        <w:p w:rsidR="00B46545" w:rsidRDefault="00167139" w:rsidP="00167139">
          <w:pPr>
            <w:pStyle w:val="594300168D98477D8EE85EFCAE6F90CE"/>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39"/>
    <w:rsid w:val="00167139"/>
    <w:rsid w:val="008361AE"/>
    <w:rsid w:val="00B46545"/>
    <w:rsid w:val="00B6019C"/>
    <w:rsid w:val="00DA12C5"/>
    <w:rsid w:val="00FB72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1361A88494F45428B5A91AAFD263E9A">
    <w:name w:val="E1361A88494F45428B5A91AAFD263E9A"/>
    <w:rsid w:val="00167139"/>
  </w:style>
  <w:style w:type="character" w:styleId="Testosegnaposto">
    <w:name w:val="Placeholder Text"/>
    <w:basedOn w:val="Carpredefinitoparagrafo"/>
    <w:uiPriority w:val="99"/>
    <w:semiHidden/>
    <w:rsid w:val="00167139"/>
    <w:rPr>
      <w:color w:val="808080"/>
    </w:rPr>
  </w:style>
  <w:style w:type="paragraph" w:customStyle="1" w:styleId="594300168D98477D8EE85EFCAE6F90CE">
    <w:name w:val="594300168D98477D8EE85EFCAE6F90CE"/>
    <w:rsid w:val="00167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2026-02-18T00:00:00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2885</Words>
  <Characters>16445</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storiA dell’inghilterra  9° inc</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dell’inghilterra  9° inc</dc:title>
  <dc:subject/>
  <dc:creator>Utente</dc:creator>
  <cp:keywords/>
  <dc:description/>
  <cp:lastModifiedBy>Terzi Angiola</cp:lastModifiedBy>
  <cp:revision>2</cp:revision>
  <dcterms:created xsi:type="dcterms:W3CDTF">2026-02-16T10:26:00Z</dcterms:created>
  <dcterms:modified xsi:type="dcterms:W3CDTF">2026-02-16T10:26:00Z</dcterms:modified>
</cp:coreProperties>
</file>