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15AB7" w14:textId="77777777" w:rsidR="007D341F" w:rsidRDefault="00CE0E41" w:rsidP="007D341F"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 w:rsidR="007D341F">
        <w:rPr>
          <w:b/>
          <w:bCs/>
          <w:i/>
          <w:iCs/>
          <w:sz w:val="60"/>
        </w:rPr>
        <w:t xml:space="preserve">Tu - </w:t>
      </w:r>
      <w:r w:rsidR="007D341F" w:rsidRPr="007647B0">
        <w:rPr>
          <w:b/>
          <w:bCs/>
          <w:sz w:val="40"/>
          <w:szCs w:val="40"/>
        </w:rPr>
        <w:t>TERZA UNIVERSITÀ - 2025/26</w:t>
      </w:r>
    </w:p>
    <w:p w14:paraId="1D7D8972" w14:textId="07621240" w:rsidR="00CE0E41" w:rsidRDefault="00CE0E41" w:rsidP="00CE0E41">
      <w:pPr>
        <w:pStyle w:val="Intestazione"/>
        <w:spacing w:after="40"/>
        <w:rPr>
          <w:b/>
          <w:bCs/>
          <w:sz w:val="44"/>
        </w:rPr>
      </w:pPr>
    </w:p>
    <w:p w14:paraId="740E9E12" w14:textId="2AF111AA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</w:t>
      </w:r>
      <w:r w:rsidR="00533E72">
        <w:rPr>
          <w:color w:val="00B050"/>
        </w:rPr>
        <w:t xml:space="preserve">    </w:t>
      </w:r>
      <w:r w:rsidRPr="00437D8A">
        <w:rPr>
          <w:color w:val="00B050"/>
        </w:rPr>
        <w:t xml:space="preserve">  </w:t>
      </w:r>
      <w:r w:rsidR="002B528F">
        <w:rPr>
          <w:color w:val="00B050"/>
        </w:rPr>
        <w:t>Provincia</w:t>
      </w:r>
      <w:r w:rsidRPr="00437D8A">
        <w:rPr>
          <w:color w:val="00B050"/>
        </w:rPr>
        <w:t xml:space="preserve"> </w:t>
      </w:r>
      <w:r w:rsidR="00826846">
        <w:rPr>
          <w:color w:val="00B050"/>
        </w:rPr>
        <w:t>–</w:t>
      </w:r>
      <w:r w:rsidRPr="00437D8A">
        <w:rPr>
          <w:b/>
          <w:color w:val="00B050"/>
        </w:rPr>
        <w:t xml:space="preserve"> </w:t>
      </w:r>
      <w:r w:rsidR="00533E72">
        <w:rPr>
          <w:b/>
          <w:bCs/>
          <w:color w:val="00B050"/>
          <w:sz w:val="24"/>
        </w:rPr>
        <w:t>TERZA</w:t>
      </w:r>
      <w:r w:rsidR="00826846">
        <w:rPr>
          <w:b/>
          <w:bCs/>
          <w:color w:val="00B050"/>
          <w:sz w:val="24"/>
        </w:rPr>
        <w:t xml:space="preserve"> </w:t>
      </w:r>
      <w:r w:rsidRPr="00437D8A">
        <w:rPr>
          <w:b/>
          <w:bCs/>
          <w:color w:val="00B050"/>
          <w:sz w:val="24"/>
        </w:rPr>
        <w:t>FASE</w:t>
      </w:r>
    </w:p>
    <w:p w14:paraId="45E3230B" w14:textId="77777777" w:rsidR="00CE0E41" w:rsidRDefault="00CE0E41" w:rsidP="00CE0E41">
      <w:pPr>
        <w:rPr>
          <w:sz w:val="20"/>
          <w:szCs w:val="20"/>
        </w:rPr>
      </w:pPr>
    </w:p>
    <w:p w14:paraId="6A46F04D" w14:textId="2297F1C6" w:rsidR="00063A96" w:rsidRPr="00063A96" w:rsidRDefault="00063A96" w:rsidP="00063A96">
      <w:pPr>
        <w:tabs>
          <w:tab w:val="left" w:pos="708"/>
        </w:tabs>
        <w:ind w:right="-7"/>
        <w:jc w:val="center"/>
        <w:rPr>
          <w:rFonts w:eastAsia="Arial" w:cs="Arial"/>
          <w:b/>
          <w:sz w:val="24"/>
        </w:rPr>
      </w:pPr>
      <w:r w:rsidRPr="00063A96">
        <w:rPr>
          <w:rFonts w:eastAsia="Arial" w:cs="Arial"/>
          <w:b/>
          <w:sz w:val="24"/>
        </w:rPr>
        <w:t>VILLA D’ADDA, CARVICO, SOTTO IL MONTE</w:t>
      </w:r>
    </w:p>
    <w:p w14:paraId="3E7DA831" w14:textId="77777777" w:rsidR="00063A96" w:rsidRPr="00063A96" w:rsidRDefault="00063A96" w:rsidP="00063A96">
      <w:pPr>
        <w:tabs>
          <w:tab w:val="left" w:pos="708"/>
        </w:tabs>
        <w:ind w:right="-7"/>
        <w:rPr>
          <w:rFonts w:eastAsia="Arial" w:cs="Arial"/>
          <w:b/>
          <w:sz w:val="20"/>
          <w:szCs w:val="20"/>
        </w:rPr>
      </w:pPr>
      <w:r w:rsidRPr="00063A96">
        <w:rPr>
          <w:rFonts w:eastAsia="Arial" w:cs="Arial"/>
          <w:b/>
          <w:sz w:val="20"/>
          <w:szCs w:val="20"/>
        </w:rPr>
        <w:t>Referenti:</w:t>
      </w:r>
    </w:p>
    <w:p w14:paraId="75AA410E" w14:textId="77777777" w:rsidR="00063A96" w:rsidRPr="00063A96" w:rsidRDefault="00063A96" w:rsidP="00063A96">
      <w:pPr>
        <w:tabs>
          <w:tab w:val="left" w:pos="708"/>
        </w:tabs>
        <w:ind w:right="-7"/>
        <w:rPr>
          <w:rFonts w:eastAsia="Arial" w:cs="Arial"/>
          <w:sz w:val="20"/>
          <w:szCs w:val="20"/>
        </w:rPr>
      </w:pPr>
      <w:r w:rsidRPr="00063A96">
        <w:rPr>
          <w:rFonts w:eastAsia="Arial" w:cs="Arial"/>
          <w:b/>
          <w:sz w:val="20"/>
          <w:szCs w:val="20"/>
        </w:rPr>
        <w:t>Sotto il Monte</w:t>
      </w:r>
      <w:r w:rsidRPr="00063A96">
        <w:rPr>
          <w:rFonts w:eastAsia="Arial" w:cs="Arial"/>
          <w:sz w:val="20"/>
          <w:szCs w:val="20"/>
        </w:rPr>
        <w:t>: Maddalena Spinoni, tel. 349.5626549</w:t>
      </w:r>
    </w:p>
    <w:p w14:paraId="1F8EAD73" w14:textId="77777777" w:rsidR="00063A96" w:rsidRPr="00063A96" w:rsidRDefault="00063A96" w:rsidP="00063A96">
      <w:pPr>
        <w:tabs>
          <w:tab w:val="left" w:pos="708"/>
        </w:tabs>
        <w:ind w:right="-7"/>
        <w:rPr>
          <w:rFonts w:eastAsia="Arial" w:cs="Arial"/>
          <w:sz w:val="20"/>
          <w:szCs w:val="20"/>
        </w:rPr>
      </w:pPr>
      <w:r w:rsidRPr="00063A96">
        <w:rPr>
          <w:rFonts w:eastAsia="Arial" w:cs="Arial"/>
          <w:b/>
          <w:sz w:val="20"/>
          <w:szCs w:val="20"/>
        </w:rPr>
        <w:t>Carvico</w:t>
      </w:r>
      <w:r w:rsidRPr="00063A96">
        <w:rPr>
          <w:rFonts w:eastAsia="Arial" w:cs="Arial"/>
          <w:sz w:val="20"/>
          <w:szCs w:val="20"/>
        </w:rPr>
        <w:t>: Atene Sangalli, tel. 348.8429109</w:t>
      </w:r>
    </w:p>
    <w:p w14:paraId="3FA0D5E4" w14:textId="77777777" w:rsidR="00063A96" w:rsidRPr="00063A96" w:rsidRDefault="00063A96" w:rsidP="00063A96">
      <w:pPr>
        <w:tabs>
          <w:tab w:val="left" w:pos="708"/>
        </w:tabs>
        <w:ind w:right="-7"/>
        <w:rPr>
          <w:rFonts w:eastAsia="Arial" w:cs="Arial"/>
          <w:sz w:val="20"/>
          <w:szCs w:val="20"/>
        </w:rPr>
      </w:pPr>
      <w:r w:rsidRPr="00063A96">
        <w:rPr>
          <w:rFonts w:eastAsia="Arial" w:cs="Arial"/>
          <w:b/>
          <w:sz w:val="20"/>
          <w:szCs w:val="20"/>
        </w:rPr>
        <w:t>Villa d’Adda</w:t>
      </w:r>
      <w:r w:rsidRPr="00063A96">
        <w:rPr>
          <w:rFonts w:eastAsia="Arial" w:cs="Arial"/>
          <w:sz w:val="20"/>
          <w:szCs w:val="20"/>
        </w:rPr>
        <w:t>: Luciano Cortinovis, tel. 334.1439494</w:t>
      </w:r>
    </w:p>
    <w:p w14:paraId="183A5FC0" w14:textId="77777777" w:rsidR="00063A96" w:rsidRPr="00063A96" w:rsidRDefault="00063A96" w:rsidP="00063A96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 w:rsidRPr="00063A96">
        <w:rPr>
          <w:rFonts w:eastAsia="Arial" w:cs="Arial"/>
          <w:b/>
          <w:sz w:val="20"/>
          <w:szCs w:val="20"/>
        </w:rPr>
        <w:t>Iscrizioni e informazioni</w:t>
      </w:r>
      <w:r w:rsidRPr="00063A96">
        <w:rPr>
          <w:rFonts w:eastAsia="Arial" w:cs="Arial"/>
          <w:sz w:val="20"/>
          <w:szCs w:val="20"/>
        </w:rPr>
        <w:t>: Biblioteca di Villa d’Adda, tel. 035.797448, Biblioteca di Sotto il Monte, tel. 035.790760, Biblioteca di Carvico tel. 035.791127.c/o la Sala Consiliare Via Santa Maria,13</w:t>
      </w:r>
    </w:p>
    <w:p w14:paraId="12780D03" w14:textId="77777777" w:rsidR="00063A96" w:rsidRPr="00063A96" w:rsidRDefault="00063A96" w:rsidP="00063A96">
      <w:pPr>
        <w:tabs>
          <w:tab w:val="left" w:pos="708"/>
        </w:tabs>
        <w:ind w:right="-7"/>
        <w:rPr>
          <w:rFonts w:eastAsia="Arial" w:cs="Arial"/>
          <w:sz w:val="20"/>
          <w:szCs w:val="20"/>
        </w:rPr>
      </w:pPr>
      <w:r w:rsidRPr="00063A96">
        <w:rPr>
          <w:rFonts w:eastAsia="Arial" w:cs="Arial"/>
          <w:sz w:val="20"/>
          <w:szCs w:val="20"/>
        </w:rPr>
        <w:t>Le Iscrizioni si ricevono 30 minuti prima dell'inizio di ciascun corso</w:t>
      </w:r>
    </w:p>
    <w:p w14:paraId="44D171E5" w14:textId="77777777" w:rsidR="00CE0E41" w:rsidRPr="00C23A02" w:rsidRDefault="00CE0E41" w:rsidP="00CE0E41">
      <w:pPr>
        <w:rPr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692"/>
        <w:gridCol w:w="884"/>
        <w:gridCol w:w="7058"/>
      </w:tblGrid>
      <w:tr w:rsidR="005E73CA" w:rsidRPr="00F028A8" w14:paraId="1E942FA0" w14:textId="77777777" w:rsidTr="001B412C">
        <w:trPr>
          <w:trHeight w:val="830"/>
        </w:trPr>
        <w:tc>
          <w:tcPr>
            <w:tcW w:w="1696" w:type="dxa"/>
            <w:vAlign w:val="center"/>
          </w:tcPr>
          <w:p w14:paraId="7401161C" w14:textId="6EFAC58B" w:rsidR="005E73CA" w:rsidRPr="009124C2" w:rsidRDefault="005E73CA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n°</w:t>
            </w:r>
          </w:p>
        </w:tc>
        <w:tc>
          <w:tcPr>
            <w:tcW w:w="851" w:type="dxa"/>
            <w:vAlign w:val="center"/>
          </w:tcPr>
          <w:p w14:paraId="68BA21B0" w14:textId="1CB7E8CE" w:rsidR="005E73CA" w:rsidRPr="009124C2" w:rsidRDefault="00063A96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175</w:t>
            </w:r>
          </w:p>
        </w:tc>
        <w:tc>
          <w:tcPr>
            <w:tcW w:w="7087" w:type="dxa"/>
            <w:vAlign w:val="center"/>
          </w:tcPr>
          <w:p w14:paraId="47AB3DF8" w14:textId="77BB679B" w:rsidR="005E73CA" w:rsidRPr="00063A96" w:rsidRDefault="00063A96" w:rsidP="00063A96">
            <w:pPr>
              <w:tabs>
                <w:tab w:val="left" w:pos="708"/>
              </w:tabs>
              <w:ind w:right="-7"/>
              <w:jc w:val="center"/>
              <w:rPr>
                <w:rFonts w:eastAsia="Arial" w:cs="Arial"/>
                <w:b/>
                <w:i/>
                <w:iCs/>
                <w:szCs w:val="28"/>
              </w:rPr>
            </w:pPr>
            <w:bookmarkStart w:id="0" w:name="_Hlk198581642"/>
            <w:r w:rsidRPr="00063A96">
              <w:rPr>
                <w:rFonts w:eastAsia="Arial" w:cs="Arial"/>
                <w:b/>
                <w:i/>
                <w:iCs/>
                <w:szCs w:val="28"/>
              </w:rPr>
              <w:t>L’ARCHITETTURA CON LA A MAIUSCOLA</w:t>
            </w:r>
            <w:bookmarkEnd w:id="0"/>
          </w:p>
        </w:tc>
      </w:tr>
    </w:tbl>
    <w:p w14:paraId="35F3D8F4" w14:textId="77777777" w:rsidR="00CE0E41" w:rsidRPr="00967B0C" w:rsidRDefault="00CE0E41" w:rsidP="00CE0E41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9124C2" w14:paraId="79382081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66D6DB96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8050" w:type="dxa"/>
            <w:vAlign w:val="center"/>
          </w:tcPr>
          <w:p w14:paraId="5BB2E641" w14:textId="3F3787AE" w:rsidR="00CE0E41" w:rsidRPr="00063A96" w:rsidRDefault="00063A96" w:rsidP="00063A96">
            <w:pPr>
              <w:tabs>
                <w:tab w:val="left" w:pos="708"/>
              </w:tabs>
              <w:spacing w:before="59" w:line="200" w:lineRule="auto"/>
              <w:ind w:right="-7"/>
              <w:jc w:val="both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063A96">
              <w:rPr>
                <w:rFonts w:eastAsia="Arial" w:cs="Arial"/>
                <w:b/>
                <w:bCs/>
                <w:sz w:val="22"/>
                <w:szCs w:val="22"/>
              </w:rPr>
              <w:t>Walter Giliberto</w:t>
            </w:r>
          </w:p>
        </w:tc>
      </w:tr>
      <w:tr w:rsidR="00CE0E41" w:rsidRPr="009124C2" w14:paraId="0677E990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8050" w:type="dxa"/>
            <w:vAlign w:val="center"/>
          </w:tcPr>
          <w:p w14:paraId="3DF54C2B" w14:textId="49B2E711" w:rsidR="00CE0E41" w:rsidRPr="00063A96" w:rsidRDefault="00063A96" w:rsidP="00CB3121">
            <w:pPr>
              <w:rPr>
                <w:sz w:val="22"/>
                <w:szCs w:val="22"/>
              </w:rPr>
            </w:pPr>
            <w:r w:rsidRPr="00063A96">
              <w:rPr>
                <w:rFonts w:eastAsia="Arial" w:cs="Arial"/>
                <w:sz w:val="22"/>
                <w:szCs w:val="22"/>
              </w:rPr>
              <w:t>Giovedì</w:t>
            </w:r>
          </w:p>
        </w:tc>
      </w:tr>
      <w:tr w:rsidR="00CE0E41" w:rsidRPr="009124C2" w14:paraId="4DF3B695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4147E7EB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8050" w:type="dxa"/>
            <w:vAlign w:val="center"/>
          </w:tcPr>
          <w:p w14:paraId="7E98FB75" w14:textId="4AD5B2BC" w:rsidR="00CE0E41" w:rsidRPr="00063A96" w:rsidRDefault="00E17078" w:rsidP="00CB3121">
            <w:pPr>
              <w:rPr>
                <w:sz w:val="22"/>
                <w:szCs w:val="22"/>
              </w:rPr>
            </w:pPr>
            <w:r w:rsidRPr="00063A96">
              <w:rPr>
                <w:sz w:val="22"/>
                <w:szCs w:val="22"/>
              </w:rPr>
              <w:t>15</w:t>
            </w:r>
            <w:r w:rsidR="007D341F">
              <w:rPr>
                <w:sz w:val="22"/>
                <w:szCs w:val="22"/>
              </w:rPr>
              <w:t>.</w:t>
            </w:r>
            <w:r w:rsidRPr="00063A96">
              <w:rPr>
                <w:sz w:val="22"/>
                <w:szCs w:val="22"/>
              </w:rPr>
              <w:t>00</w:t>
            </w:r>
            <w:r w:rsidR="007D341F">
              <w:rPr>
                <w:sz w:val="22"/>
                <w:szCs w:val="22"/>
              </w:rPr>
              <w:t xml:space="preserve"> - </w:t>
            </w:r>
            <w:r w:rsidRPr="00063A96">
              <w:rPr>
                <w:sz w:val="22"/>
                <w:szCs w:val="22"/>
              </w:rPr>
              <w:t>17</w:t>
            </w:r>
            <w:r w:rsidR="007D341F">
              <w:rPr>
                <w:sz w:val="22"/>
                <w:szCs w:val="22"/>
              </w:rPr>
              <w:t>.</w:t>
            </w:r>
            <w:r w:rsidRPr="00063A96">
              <w:rPr>
                <w:sz w:val="22"/>
                <w:szCs w:val="22"/>
              </w:rPr>
              <w:t>15</w:t>
            </w:r>
          </w:p>
        </w:tc>
      </w:tr>
      <w:tr w:rsidR="00CE0E41" w:rsidRPr="009124C2" w14:paraId="782B8717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19B04E5E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8050" w:type="dxa"/>
            <w:vAlign w:val="center"/>
          </w:tcPr>
          <w:p w14:paraId="1BBB36A1" w14:textId="24F5F81B" w:rsidR="00CE0E41" w:rsidRPr="00063A96" w:rsidRDefault="00CE0E41" w:rsidP="00063A96">
            <w:pPr>
              <w:tabs>
                <w:tab w:val="left" w:pos="708"/>
              </w:tabs>
              <w:spacing w:before="36" w:line="251" w:lineRule="auto"/>
              <w:ind w:right="-7"/>
              <w:jc w:val="both"/>
              <w:rPr>
                <w:rFonts w:eastAsia="Arial" w:cs="Arial"/>
                <w:sz w:val="22"/>
                <w:szCs w:val="22"/>
              </w:rPr>
            </w:pPr>
            <w:r w:rsidRPr="00063A96">
              <w:rPr>
                <w:sz w:val="22"/>
                <w:szCs w:val="22"/>
              </w:rPr>
              <w:t xml:space="preserve">Dal </w:t>
            </w:r>
            <w:r w:rsidR="00063A96" w:rsidRPr="00063A96">
              <w:rPr>
                <w:rFonts w:eastAsia="Arial" w:cs="Arial"/>
                <w:sz w:val="22"/>
                <w:szCs w:val="22"/>
              </w:rPr>
              <w:t>9 aprile al 21 maggio 2026 (7 incontri - € 25,00)</w:t>
            </w:r>
          </w:p>
        </w:tc>
      </w:tr>
      <w:tr w:rsidR="00CE0E41" w:rsidRPr="009124C2" w14:paraId="44B4C69B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38EA7DEF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8050" w:type="dxa"/>
            <w:vAlign w:val="center"/>
          </w:tcPr>
          <w:p w14:paraId="16EE07FA" w14:textId="1D4E7B9E" w:rsidR="00CE0E41" w:rsidRPr="00063A96" w:rsidRDefault="00063A96" w:rsidP="00CB3121">
            <w:pPr>
              <w:jc w:val="both"/>
              <w:rPr>
                <w:sz w:val="22"/>
                <w:szCs w:val="22"/>
              </w:rPr>
            </w:pPr>
            <w:r w:rsidRPr="00063A96">
              <w:rPr>
                <w:rFonts w:eastAsia="Arial" w:cs="Arial"/>
                <w:sz w:val="22"/>
                <w:szCs w:val="22"/>
              </w:rPr>
              <w:t xml:space="preserve">Sala Consiliare, via Santa Maria 13, </w:t>
            </w:r>
            <w:r w:rsidRPr="00063A96">
              <w:rPr>
                <w:rFonts w:eastAsia="Arial" w:cs="Arial"/>
                <w:b/>
                <w:sz w:val="22"/>
                <w:szCs w:val="22"/>
              </w:rPr>
              <w:t>Carvico</w:t>
            </w:r>
          </w:p>
        </w:tc>
      </w:tr>
      <w:tr w:rsidR="00CE0E41" w:rsidRPr="009124C2" w14:paraId="57703C0E" w14:textId="77777777" w:rsidTr="005E73CA">
        <w:trPr>
          <w:trHeight w:val="312"/>
        </w:trPr>
        <w:tc>
          <w:tcPr>
            <w:tcW w:w="1728" w:type="dxa"/>
            <w:vAlign w:val="center"/>
          </w:tcPr>
          <w:p w14:paraId="6633F86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8050" w:type="dxa"/>
            <w:vAlign w:val="center"/>
          </w:tcPr>
          <w:p w14:paraId="52D884EC" w14:textId="66E90E13" w:rsidR="00CE0E41" w:rsidRPr="00063A96" w:rsidRDefault="00063A96" w:rsidP="00063A96">
            <w:pPr>
              <w:tabs>
                <w:tab w:val="left" w:pos="708"/>
              </w:tabs>
              <w:spacing w:before="36" w:line="251" w:lineRule="auto"/>
              <w:ind w:right="-7"/>
              <w:jc w:val="both"/>
              <w:rPr>
                <w:rFonts w:eastAsia="Arial" w:cs="Arial"/>
                <w:b/>
                <w:sz w:val="22"/>
                <w:szCs w:val="22"/>
              </w:rPr>
            </w:pPr>
            <w:r w:rsidRPr="00063A96">
              <w:rPr>
                <w:rFonts w:eastAsia="Arial" w:cs="Arial"/>
                <w:b/>
                <w:sz w:val="22"/>
                <w:szCs w:val="22"/>
              </w:rPr>
              <w:t>STORIA DELL’ARTE</w:t>
            </w:r>
          </w:p>
        </w:tc>
      </w:tr>
      <w:tr w:rsidR="00CE0E41" w:rsidRPr="009124C2" w14:paraId="6662DB94" w14:textId="77777777" w:rsidTr="005E73CA">
        <w:trPr>
          <w:trHeight w:val="1192"/>
        </w:trPr>
        <w:tc>
          <w:tcPr>
            <w:tcW w:w="1728" w:type="dxa"/>
            <w:vAlign w:val="center"/>
          </w:tcPr>
          <w:p w14:paraId="07BCDBA0" w14:textId="77777777" w:rsidR="00CE0E41" w:rsidRPr="009124C2" w:rsidRDefault="00CE0E41" w:rsidP="00CB3121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8050" w:type="dxa"/>
            <w:vAlign w:val="center"/>
          </w:tcPr>
          <w:p w14:paraId="58FFBF83" w14:textId="14B08652" w:rsidR="00CE0E41" w:rsidRPr="00063A96" w:rsidRDefault="00063A96" w:rsidP="00063A96">
            <w:pPr>
              <w:ind w:right="-7"/>
              <w:jc w:val="both"/>
              <w:rPr>
                <w:rFonts w:eastAsia="Arial" w:cs="Arial"/>
                <w:i/>
                <w:iCs/>
                <w:sz w:val="22"/>
                <w:szCs w:val="22"/>
              </w:rPr>
            </w:pPr>
            <w:r w:rsidRPr="00063A96">
              <w:rPr>
                <w:rFonts w:eastAsia="Arial" w:cs="Arial"/>
                <w:i/>
                <w:iCs/>
                <w:sz w:val="22"/>
                <w:szCs w:val="22"/>
              </w:rPr>
              <w:t xml:space="preserve">Il corso illustrerà i momenti più importanti e suggestivi della storia dell’architettura attraverso lo studio delle più significative costruzioni dell’uomo. Le cattedrali gotiche, le piazze rinascimentali, le chiese barocche e i grandi musei ottocenteschi sono alcuni dei passaggi della grande architettura che verranno presentati. Nei vari periodi verranno inserite le storie dei più famosi architetti come Michelangelo, Borromini, Bernini, Vasari, </w:t>
            </w:r>
            <w:proofErr w:type="spellStart"/>
            <w:r w:rsidRPr="00063A96">
              <w:rPr>
                <w:rFonts w:eastAsia="Arial" w:cs="Arial"/>
                <w:i/>
                <w:iCs/>
                <w:sz w:val="22"/>
                <w:szCs w:val="22"/>
              </w:rPr>
              <w:t>Schinkel</w:t>
            </w:r>
            <w:proofErr w:type="spellEnd"/>
            <w:r w:rsidRPr="00063A96">
              <w:rPr>
                <w:rFonts w:eastAsia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063A96">
              <w:rPr>
                <w:rFonts w:eastAsia="Arial" w:cs="Arial"/>
                <w:i/>
                <w:iCs/>
                <w:sz w:val="22"/>
                <w:szCs w:val="22"/>
              </w:rPr>
              <w:t>Labrouste</w:t>
            </w:r>
            <w:proofErr w:type="spellEnd"/>
            <w:r w:rsidRPr="00063A96">
              <w:rPr>
                <w:rFonts w:eastAsia="Arial" w:cs="Arial"/>
                <w:i/>
                <w:iCs/>
                <w:sz w:val="22"/>
                <w:szCs w:val="22"/>
              </w:rPr>
              <w:t>, Le Corbusier. Lo studio delle opere di questi illustri maestri mostrerà la faccia migliore del costruire dell’uomo su questa terra.</w:t>
            </w:r>
          </w:p>
        </w:tc>
      </w:tr>
      <w:tr w:rsidR="00CE0E41" w:rsidRPr="009124C2" w14:paraId="13379C1F" w14:textId="77777777" w:rsidTr="00CB3121">
        <w:trPr>
          <w:trHeight w:val="340"/>
        </w:trPr>
        <w:tc>
          <w:tcPr>
            <w:tcW w:w="1728" w:type="dxa"/>
          </w:tcPr>
          <w:p w14:paraId="798EB88B" w14:textId="5282180A" w:rsidR="00CE0E41" w:rsidRPr="009124C2" w:rsidRDefault="00CE0E41" w:rsidP="00CB3121">
            <w:pPr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</w:tcPr>
          <w:p w14:paraId="734AAF65" w14:textId="77777777" w:rsidR="00CE0E41" w:rsidRPr="009124C2" w:rsidRDefault="00CE0E41" w:rsidP="00CB3121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576D106D" w14:textId="77777777" w:rsidR="00CE0E41" w:rsidRDefault="00CE0E41" w:rsidP="00CE0E41">
      <w:pPr>
        <w:rPr>
          <w:b/>
          <w:sz w:val="24"/>
        </w:rPr>
      </w:pPr>
    </w:p>
    <w:p w14:paraId="0E1C0429" w14:textId="77777777" w:rsidR="00CE0E41" w:rsidRPr="00C75FD9" w:rsidRDefault="00CE0E41" w:rsidP="00CE0E41">
      <w:pPr>
        <w:rPr>
          <w:b/>
          <w:sz w:val="24"/>
        </w:rPr>
      </w:pPr>
      <w:r w:rsidRPr="00C75FD9">
        <w:rPr>
          <w:b/>
          <w:sz w:val="24"/>
        </w:rPr>
        <w:t xml:space="preserve">Calendario  </w:t>
      </w:r>
    </w:p>
    <w:p w14:paraId="63D85536" w14:textId="77777777" w:rsidR="00CE0E41" w:rsidRDefault="00CE0E41" w:rsidP="00CE0E41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9"/>
        <w:gridCol w:w="7615"/>
      </w:tblGrid>
      <w:tr w:rsidR="005C1308" w:rsidRPr="00912182" w14:paraId="79ABADCD" w14:textId="77777777" w:rsidTr="005C1308">
        <w:trPr>
          <w:trHeight w:val="564"/>
        </w:trPr>
        <w:tc>
          <w:tcPr>
            <w:tcW w:w="385" w:type="dxa"/>
            <w:vAlign w:val="center"/>
          </w:tcPr>
          <w:p w14:paraId="7D49DAEB" w14:textId="77777777" w:rsidR="005C1308" w:rsidRPr="009124C2" w:rsidRDefault="005C1308" w:rsidP="005C1308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9" w:type="dxa"/>
            <w:vAlign w:val="center"/>
          </w:tcPr>
          <w:p w14:paraId="15607591" w14:textId="111D198C" w:rsidR="005C1308" w:rsidRPr="009124C2" w:rsidRDefault="005C1308" w:rsidP="005C1308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09.04.2026</w:t>
            </w:r>
          </w:p>
        </w:tc>
        <w:tc>
          <w:tcPr>
            <w:tcW w:w="7615" w:type="dxa"/>
            <w:vAlign w:val="center"/>
          </w:tcPr>
          <w:p w14:paraId="1863A779" w14:textId="2DE7EFF0" w:rsidR="005C1308" w:rsidRPr="005C1308" w:rsidRDefault="005C1308" w:rsidP="005C1308">
            <w:pPr>
              <w:rPr>
                <w:rFonts w:cs="Arial"/>
                <w:sz w:val="22"/>
                <w:szCs w:val="22"/>
              </w:rPr>
            </w:pPr>
            <w:r w:rsidRPr="005C1308">
              <w:rPr>
                <w:rFonts w:cs="Arial"/>
                <w:sz w:val="22"/>
                <w:szCs w:val="22"/>
              </w:rPr>
              <w:t>Conventi, chiostri e cattedrali: l’origine dell’Europa</w:t>
            </w:r>
          </w:p>
        </w:tc>
      </w:tr>
      <w:tr w:rsidR="005C1308" w:rsidRPr="009124C2" w14:paraId="14CE0752" w14:textId="77777777" w:rsidTr="005C1308">
        <w:trPr>
          <w:trHeight w:val="567"/>
        </w:trPr>
        <w:tc>
          <w:tcPr>
            <w:tcW w:w="385" w:type="dxa"/>
            <w:vAlign w:val="center"/>
          </w:tcPr>
          <w:p w14:paraId="4A378FF4" w14:textId="77777777" w:rsidR="005C1308" w:rsidRPr="009124C2" w:rsidRDefault="005C1308" w:rsidP="005C1308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9" w:type="dxa"/>
            <w:vAlign w:val="center"/>
          </w:tcPr>
          <w:p w14:paraId="509A4E7E" w14:textId="66686FBE" w:rsidR="005C1308" w:rsidRPr="009124C2" w:rsidRDefault="005C1308" w:rsidP="005C1308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16.04.2026</w:t>
            </w:r>
          </w:p>
        </w:tc>
        <w:tc>
          <w:tcPr>
            <w:tcW w:w="7615" w:type="dxa"/>
            <w:vAlign w:val="center"/>
          </w:tcPr>
          <w:p w14:paraId="5E6046FD" w14:textId="35EC9125" w:rsidR="005C1308" w:rsidRPr="005C1308" w:rsidRDefault="005C1308" w:rsidP="005C1308">
            <w:pPr>
              <w:rPr>
                <w:rFonts w:cs="Arial"/>
                <w:sz w:val="22"/>
                <w:szCs w:val="22"/>
              </w:rPr>
            </w:pPr>
            <w:r w:rsidRPr="005C1308">
              <w:rPr>
                <w:rFonts w:cs="Arial"/>
                <w:sz w:val="22"/>
                <w:szCs w:val="22"/>
              </w:rPr>
              <w:t>Le signorie rinascimentali: Piazze e altri luoghi</w:t>
            </w:r>
          </w:p>
        </w:tc>
      </w:tr>
      <w:tr w:rsidR="005C1308" w:rsidRPr="009124C2" w14:paraId="638AFA5D" w14:textId="77777777" w:rsidTr="005C1308">
        <w:trPr>
          <w:trHeight w:val="567"/>
        </w:trPr>
        <w:tc>
          <w:tcPr>
            <w:tcW w:w="385" w:type="dxa"/>
            <w:vAlign w:val="center"/>
          </w:tcPr>
          <w:p w14:paraId="3EFB7E73" w14:textId="77777777" w:rsidR="005C1308" w:rsidRPr="009124C2" w:rsidRDefault="005C1308" w:rsidP="005C1308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9" w:type="dxa"/>
            <w:vAlign w:val="center"/>
          </w:tcPr>
          <w:p w14:paraId="512EDB51" w14:textId="5CE7CFC6" w:rsidR="005C1308" w:rsidRPr="009124C2" w:rsidRDefault="005C1308" w:rsidP="005C1308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23.04.2026</w:t>
            </w:r>
          </w:p>
        </w:tc>
        <w:tc>
          <w:tcPr>
            <w:tcW w:w="7615" w:type="dxa"/>
            <w:vAlign w:val="center"/>
          </w:tcPr>
          <w:p w14:paraId="704C7C54" w14:textId="4F8912CE" w:rsidR="005C1308" w:rsidRPr="005C1308" w:rsidRDefault="005C1308" w:rsidP="005C1308">
            <w:pPr>
              <w:rPr>
                <w:rFonts w:cs="Arial"/>
                <w:sz w:val="22"/>
                <w:szCs w:val="22"/>
              </w:rPr>
            </w:pPr>
            <w:r w:rsidRPr="005C1308">
              <w:rPr>
                <w:rFonts w:cs="Arial"/>
                <w:sz w:val="22"/>
                <w:szCs w:val="22"/>
              </w:rPr>
              <w:t>‘700 e ‘800: la costruzione dei nuovi Stati nazionali e della nuova cultura: biblioteche, teatri e musei</w:t>
            </w:r>
          </w:p>
        </w:tc>
      </w:tr>
      <w:tr w:rsidR="005C1308" w:rsidRPr="009124C2" w14:paraId="4099DA0F" w14:textId="77777777" w:rsidTr="005C1308">
        <w:trPr>
          <w:trHeight w:val="567"/>
        </w:trPr>
        <w:tc>
          <w:tcPr>
            <w:tcW w:w="385" w:type="dxa"/>
            <w:vAlign w:val="center"/>
          </w:tcPr>
          <w:p w14:paraId="65B3B4DF" w14:textId="77777777" w:rsidR="005C1308" w:rsidRPr="009124C2" w:rsidRDefault="005C1308" w:rsidP="005C1308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9" w:type="dxa"/>
            <w:vAlign w:val="center"/>
          </w:tcPr>
          <w:p w14:paraId="3A2ECF37" w14:textId="58589150" w:rsidR="005C1308" w:rsidRPr="00EB4BE2" w:rsidRDefault="005C1308" w:rsidP="005C13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30.04.2026</w:t>
            </w:r>
          </w:p>
        </w:tc>
        <w:tc>
          <w:tcPr>
            <w:tcW w:w="7615" w:type="dxa"/>
            <w:vAlign w:val="center"/>
          </w:tcPr>
          <w:p w14:paraId="65855348" w14:textId="58A344EC" w:rsidR="005C1308" w:rsidRPr="005C1308" w:rsidRDefault="005C1308" w:rsidP="005C1308">
            <w:pPr>
              <w:rPr>
                <w:rFonts w:cs="Arial"/>
                <w:sz w:val="22"/>
                <w:szCs w:val="22"/>
              </w:rPr>
            </w:pPr>
            <w:r w:rsidRPr="005C1308">
              <w:rPr>
                <w:rFonts w:cs="Arial"/>
                <w:sz w:val="22"/>
                <w:szCs w:val="22"/>
              </w:rPr>
              <w:t>Il territorio lombardo</w:t>
            </w:r>
          </w:p>
        </w:tc>
      </w:tr>
      <w:tr w:rsidR="005C1308" w:rsidRPr="009124C2" w14:paraId="5E54F49D" w14:textId="77777777" w:rsidTr="005C1308">
        <w:trPr>
          <w:trHeight w:val="567"/>
        </w:trPr>
        <w:tc>
          <w:tcPr>
            <w:tcW w:w="385" w:type="dxa"/>
            <w:vAlign w:val="center"/>
          </w:tcPr>
          <w:p w14:paraId="694F3FAC" w14:textId="77777777" w:rsidR="005C1308" w:rsidRPr="009124C2" w:rsidRDefault="005C1308" w:rsidP="005C1308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9" w:type="dxa"/>
            <w:vAlign w:val="center"/>
          </w:tcPr>
          <w:p w14:paraId="204A9B9A" w14:textId="15CEC138" w:rsidR="005C1308" w:rsidRPr="009124C2" w:rsidRDefault="005C1308" w:rsidP="005C1308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07.05.2026</w:t>
            </w:r>
          </w:p>
        </w:tc>
        <w:tc>
          <w:tcPr>
            <w:tcW w:w="7615" w:type="dxa"/>
            <w:vAlign w:val="center"/>
          </w:tcPr>
          <w:p w14:paraId="07FE72A5" w14:textId="0A97F4A5" w:rsidR="005C1308" w:rsidRPr="005C1308" w:rsidRDefault="005C1308" w:rsidP="005C1308">
            <w:pPr>
              <w:rPr>
                <w:rFonts w:cs="Arial"/>
                <w:i/>
                <w:iCs/>
                <w:sz w:val="22"/>
                <w:szCs w:val="22"/>
              </w:rPr>
            </w:pPr>
            <w:r w:rsidRPr="005C1308">
              <w:rPr>
                <w:rFonts w:cs="Arial"/>
                <w:i/>
                <w:iCs/>
                <w:sz w:val="22"/>
                <w:szCs w:val="22"/>
              </w:rPr>
              <w:t>La nuova architettura: Bauhaus e repubblica di Weimar</w:t>
            </w:r>
          </w:p>
        </w:tc>
      </w:tr>
      <w:tr w:rsidR="005C1308" w:rsidRPr="009124C2" w14:paraId="02325D45" w14:textId="77777777" w:rsidTr="005C1308">
        <w:trPr>
          <w:trHeight w:val="567"/>
        </w:trPr>
        <w:tc>
          <w:tcPr>
            <w:tcW w:w="385" w:type="dxa"/>
            <w:vAlign w:val="center"/>
          </w:tcPr>
          <w:p w14:paraId="7C3925EA" w14:textId="77777777" w:rsidR="005C1308" w:rsidRPr="009124C2" w:rsidRDefault="005C1308" w:rsidP="005C1308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9" w:type="dxa"/>
            <w:vAlign w:val="center"/>
          </w:tcPr>
          <w:p w14:paraId="37707E04" w14:textId="55BED1B6" w:rsidR="005C1308" w:rsidRPr="009124C2" w:rsidRDefault="005C1308" w:rsidP="005C1308">
            <w:pPr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14.05.2026</w:t>
            </w:r>
          </w:p>
        </w:tc>
        <w:tc>
          <w:tcPr>
            <w:tcW w:w="7615" w:type="dxa"/>
            <w:vAlign w:val="center"/>
          </w:tcPr>
          <w:p w14:paraId="36BABFB0" w14:textId="0291086E" w:rsidR="005C1308" w:rsidRPr="005C1308" w:rsidRDefault="005C1308" w:rsidP="005C1308">
            <w:pPr>
              <w:rPr>
                <w:rFonts w:cs="Arial"/>
                <w:i/>
                <w:iCs/>
                <w:sz w:val="22"/>
                <w:szCs w:val="22"/>
              </w:rPr>
            </w:pPr>
            <w:r w:rsidRPr="005C1308">
              <w:rPr>
                <w:rFonts w:cs="Arial"/>
                <w:i/>
                <w:iCs/>
                <w:sz w:val="22"/>
                <w:szCs w:val="22"/>
              </w:rPr>
              <w:t>Il novecento in Italia</w:t>
            </w:r>
          </w:p>
        </w:tc>
      </w:tr>
      <w:tr w:rsidR="005C1308" w:rsidRPr="009124C2" w14:paraId="1390F27B" w14:textId="77777777" w:rsidTr="005C1308">
        <w:trPr>
          <w:trHeight w:val="567"/>
        </w:trPr>
        <w:tc>
          <w:tcPr>
            <w:tcW w:w="385" w:type="dxa"/>
            <w:vAlign w:val="center"/>
          </w:tcPr>
          <w:p w14:paraId="6130D557" w14:textId="77777777" w:rsidR="005C1308" w:rsidRPr="009124C2" w:rsidRDefault="005C1308" w:rsidP="005C1308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9" w:type="dxa"/>
            <w:vAlign w:val="center"/>
          </w:tcPr>
          <w:p w14:paraId="29754A11" w14:textId="0B9A7D0C" w:rsidR="005C1308" w:rsidRPr="009124C2" w:rsidRDefault="005C1308" w:rsidP="005C1308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21.05.2026</w:t>
            </w:r>
          </w:p>
        </w:tc>
        <w:tc>
          <w:tcPr>
            <w:tcW w:w="7615" w:type="dxa"/>
            <w:vAlign w:val="center"/>
          </w:tcPr>
          <w:p w14:paraId="228EFAF6" w14:textId="10FD1711" w:rsidR="005C1308" w:rsidRPr="005C1308" w:rsidRDefault="005C1308" w:rsidP="005C1308">
            <w:pPr>
              <w:rPr>
                <w:rFonts w:cs="Arial"/>
                <w:i/>
                <w:iCs/>
                <w:sz w:val="22"/>
                <w:szCs w:val="22"/>
              </w:rPr>
            </w:pPr>
            <w:r w:rsidRPr="005C1308">
              <w:rPr>
                <w:rFonts w:cs="Arial"/>
                <w:i/>
                <w:iCs/>
                <w:sz w:val="22"/>
                <w:szCs w:val="22"/>
              </w:rPr>
              <w:t>Architettura contemporanea: i nuovi luoghi della rappresentazione: centri commerciali, centri congressi, centri direzionali …</w:t>
            </w:r>
          </w:p>
        </w:tc>
      </w:tr>
    </w:tbl>
    <w:p w14:paraId="5C7D55D2" w14:textId="77777777" w:rsidR="00CE0E41" w:rsidRPr="007E6AB1" w:rsidRDefault="00CE0E41" w:rsidP="00CE0E41">
      <w:pPr>
        <w:rPr>
          <w:rFonts w:ascii="Times New Roman" w:hAnsi="Times New Roman"/>
        </w:rPr>
      </w:pPr>
    </w:p>
    <w:p w14:paraId="4F524436" w14:textId="77777777" w:rsidR="00CE0E41" w:rsidRDefault="00CE0E41" w:rsidP="00CE0E41">
      <w:pPr>
        <w:rPr>
          <w:b/>
          <w:sz w:val="24"/>
        </w:rPr>
      </w:pPr>
    </w:p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23891"/>
    <w:rsid w:val="00063365"/>
    <w:rsid w:val="00063A96"/>
    <w:rsid w:val="0006714E"/>
    <w:rsid w:val="0007529D"/>
    <w:rsid w:val="000E5061"/>
    <w:rsid w:val="001B412C"/>
    <w:rsid w:val="001E15FA"/>
    <w:rsid w:val="00262A85"/>
    <w:rsid w:val="002B528F"/>
    <w:rsid w:val="00422C2B"/>
    <w:rsid w:val="004278EB"/>
    <w:rsid w:val="00437D8A"/>
    <w:rsid w:val="0045095D"/>
    <w:rsid w:val="00533E72"/>
    <w:rsid w:val="00565751"/>
    <w:rsid w:val="005C1308"/>
    <w:rsid w:val="005E44AF"/>
    <w:rsid w:val="005E73CA"/>
    <w:rsid w:val="00717D95"/>
    <w:rsid w:val="007D341F"/>
    <w:rsid w:val="007E683C"/>
    <w:rsid w:val="008052CE"/>
    <w:rsid w:val="00826846"/>
    <w:rsid w:val="008A65D3"/>
    <w:rsid w:val="00967B0C"/>
    <w:rsid w:val="00B64D67"/>
    <w:rsid w:val="00B67D50"/>
    <w:rsid w:val="00C8011A"/>
    <w:rsid w:val="00CB6454"/>
    <w:rsid w:val="00CE0E41"/>
    <w:rsid w:val="00E17078"/>
    <w:rsid w:val="00F9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D2859FCA-8EB7-4A86-AB1B-86ABC7E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4</cp:revision>
  <dcterms:created xsi:type="dcterms:W3CDTF">2025-05-21T14:27:00Z</dcterms:created>
  <dcterms:modified xsi:type="dcterms:W3CDTF">2025-08-05T14:05:00Z</dcterms:modified>
</cp:coreProperties>
</file>