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41" w:rsidRDefault="001646C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D96841" w:rsidRDefault="001646C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:rsidR="00D96841" w:rsidRDefault="00D96841">
      <w:pPr>
        <w:rPr>
          <w:sz w:val="20"/>
          <w:szCs w:val="20"/>
        </w:rPr>
      </w:pPr>
    </w:p>
    <w:p w:rsidR="00D96841" w:rsidRDefault="00D96841">
      <w:pPr>
        <w:rPr>
          <w:sz w:val="20"/>
          <w:szCs w:val="20"/>
        </w:rPr>
      </w:pPr>
    </w:p>
    <w:p w:rsidR="00D96841" w:rsidRDefault="00D96841" w:rsidP="001646CC">
      <w:pPr>
        <w:tabs>
          <w:tab w:val="left" w:pos="4962"/>
        </w:tabs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709"/>
        <w:gridCol w:w="7230"/>
      </w:tblGrid>
      <w:tr w:rsidR="00D96841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841" w:rsidRDefault="001646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96841" w:rsidRDefault="001646C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78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841" w:rsidRDefault="001646CC">
            <w:pPr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C’ERA UNA VOLTA (…E CONTINUA AD ESSERCI)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0" w:name="bookmark=id.3008cqtjcwpc"/>
            <w:bookmarkEnd w:id="0"/>
            <w:r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:rsidR="00D96841" w:rsidRDefault="00D96841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96841">
        <w:trPr>
          <w:trHeight w:val="340"/>
        </w:trPr>
        <w:tc>
          <w:tcPr>
            <w:tcW w:w="1728" w:type="dxa"/>
            <w:vAlign w:val="center"/>
          </w:tcPr>
          <w:p w:rsidR="00D96841" w:rsidRDefault="001646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Alessandra Pozzi</w:t>
            </w:r>
          </w:p>
        </w:tc>
      </w:tr>
      <w:tr w:rsidR="00D96841">
        <w:trPr>
          <w:trHeight w:val="340"/>
        </w:trPr>
        <w:tc>
          <w:tcPr>
            <w:tcW w:w="1728" w:type="dxa"/>
            <w:vAlign w:val="center"/>
          </w:tcPr>
          <w:p w:rsidR="00D96841" w:rsidRDefault="001646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D96841">
        <w:trPr>
          <w:trHeight w:val="340"/>
        </w:trPr>
        <w:tc>
          <w:tcPr>
            <w:tcW w:w="1728" w:type="dxa"/>
            <w:vAlign w:val="center"/>
          </w:tcPr>
          <w:p w:rsidR="00D96841" w:rsidRDefault="001646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9.30 - </w:t>
            </w:r>
            <w:r>
              <w:rPr>
                <w:rFonts w:eastAsia="Arial" w:cs="Arial"/>
                <w:sz w:val="22"/>
                <w:szCs w:val="22"/>
              </w:rPr>
              <w:t>11.45</w:t>
            </w:r>
          </w:p>
        </w:tc>
      </w:tr>
      <w:tr w:rsidR="00D96841">
        <w:trPr>
          <w:trHeight w:val="340"/>
        </w:trPr>
        <w:tc>
          <w:tcPr>
            <w:tcW w:w="1728" w:type="dxa"/>
            <w:vAlign w:val="center"/>
          </w:tcPr>
          <w:p w:rsidR="00D96841" w:rsidRDefault="001646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rFonts w:eastAsia="Arial" w:cs="Arial"/>
                <w:sz w:val="22"/>
                <w:szCs w:val="22"/>
              </w:rPr>
              <w:t>all’11 marzo al 13 maggio 2026 (10 incontri - € 40,00)</w:t>
            </w:r>
          </w:p>
        </w:tc>
      </w:tr>
      <w:tr w:rsidR="00D96841">
        <w:trPr>
          <w:trHeight w:val="340"/>
        </w:trPr>
        <w:tc>
          <w:tcPr>
            <w:tcW w:w="1728" w:type="dxa"/>
            <w:vAlign w:val="center"/>
          </w:tcPr>
          <w:p w:rsidR="00D96841" w:rsidRDefault="001646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CTE Loreto</w:t>
            </w:r>
          </w:p>
        </w:tc>
      </w:tr>
      <w:tr w:rsidR="00D96841">
        <w:trPr>
          <w:trHeight w:val="312"/>
        </w:trPr>
        <w:tc>
          <w:tcPr>
            <w:tcW w:w="1728" w:type="dxa"/>
            <w:vAlign w:val="center"/>
          </w:tcPr>
          <w:p w:rsidR="00D96841" w:rsidRDefault="001646C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SCRITTURA CREATIVA </w:t>
            </w:r>
          </w:p>
        </w:tc>
      </w:tr>
      <w:tr w:rsidR="00D96841">
        <w:trPr>
          <w:trHeight w:val="1192"/>
        </w:trPr>
        <w:tc>
          <w:tcPr>
            <w:tcW w:w="1728" w:type="dxa"/>
            <w:vAlign w:val="center"/>
          </w:tcPr>
          <w:p w:rsidR="00D96841" w:rsidRDefault="001646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D96841" w:rsidRDefault="001646CC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Corso di scrittura (con prelazione per chi ha frequentato i corsi di scrittura). Se la scrittura è il modo del pensiero </w:t>
            </w:r>
            <w:r>
              <w:rPr>
                <w:rFonts w:ascii="Arial" w:eastAsia="Arial" w:hAnsi="Arial" w:cs="Arial"/>
                <w:i/>
                <w:iCs/>
              </w:rPr>
              <w:t>per costruire la realtà, allora la scrittura “scrive” alcune relazioni con i nostri dintorni che fondano la nostra identità nel suo rapporto con il mondo. In particolare, a partire da modelli letterari, si offriranno gli strumenti per narrare rapporti fami</w:t>
            </w:r>
            <w:r>
              <w:rPr>
                <w:rFonts w:ascii="Arial" w:eastAsia="Arial" w:hAnsi="Arial" w:cs="Arial"/>
                <w:i/>
                <w:iCs/>
              </w:rPr>
              <w:t>liari, sentimenti, ambienti naturali, contesti sociale, arti. La forma "racconto" sarà al centro dell'attenzione ma sono previste incursioni anche in altri generi di scrittura. Il metodo proposto prevede momenti di lettura comune e commento dei testi. </w:t>
            </w:r>
          </w:p>
        </w:tc>
      </w:tr>
      <w:tr w:rsidR="00D96841">
        <w:trPr>
          <w:trHeight w:val="340"/>
        </w:trPr>
        <w:tc>
          <w:tcPr>
            <w:tcW w:w="1728" w:type="dxa"/>
          </w:tcPr>
          <w:p w:rsidR="00D96841" w:rsidRDefault="00D96841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D96841" w:rsidRDefault="00D9684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D96841" w:rsidRDefault="00D96841">
      <w:pPr>
        <w:rPr>
          <w:b/>
          <w:sz w:val="24"/>
        </w:rPr>
      </w:pPr>
    </w:p>
    <w:p w:rsidR="00D96841" w:rsidRDefault="001646CC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:rsidR="00D96841" w:rsidRDefault="00D968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D96841">
        <w:trPr>
          <w:trHeight w:val="564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</w:p>
        </w:tc>
        <w:tc>
          <w:tcPr>
            <w:tcW w:w="7488" w:type="dxa"/>
            <w:vAlign w:val="center"/>
          </w:tcPr>
          <w:p w:rsidR="00D96841" w:rsidRDefault="001646CC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La trama</w:t>
            </w: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D96841" w:rsidRDefault="001646CC" w:rsidP="001646CC">
            <w:pPr>
              <w:ind w:left="5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18.03.2026      </w:t>
            </w:r>
          </w:p>
        </w:tc>
        <w:tc>
          <w:tcPr>
            <w:tcW w:w="7488" w:type="dxa"/>
            <w:vAlign w:val="center"/>
          </w:tcPr>
          <w:p w:rsidR="001646CC" w:rsidRDefault="001646CC" w:rsidP="00164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Gli attanti</w:t>
            </w:r>
          </w:p>
          <w:p w:rsidR="00D96841" w:rsidRPr="001646CC" w:rsidRDefault="00D96841" w:rsidP="001646CC">
            <w:pPr>
              <w:rPr>
                <w:sz w:val="22"/>
                <w:szCs w:val="22"/>
              </w:rPr>
            </w:pP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8" w:type="dxa"/>
            <w:vAlign w:val="center"/>
          </w:tcPr>
          <w:p w:rsidR="001646CC" w:rsidRDefault="001646CC" w:rsidP="001646CC">
            <w:pPr>
              <w:tabs>
                <w:tab w:val="left" w:pos="2915"/>
                <w:tab w:val="left" w:pos="3875"/>
              </w:tabs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mondo possibile del racconto</w:t>
            </w:r>
          </w:p>
          <w:p w:rsidR="00D96841" w:rsidRDefault="00D96841">
            <w:pPr>
              <w:rPr>
                <w:rFonts w:cs="Arial"/>
                <w:sz w:val="22"/>
                <w:szCs w:val="22"/>
              </w:rPr>
            </w:pP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7488" w:type="dxa"/>
            <w:vAlign w:val="center"/>
          </w:tcPr>
          <w:p w:rsidR="001646CC" w:rsidRDefault="001646CC" w:rsidP="00164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punto di vista e il narratore A</w:t>
            </w:r>
          </w:p>
          <w:p w:rsidR="00D96841" w:rsidRDefault="00D96841">
            <w:pPr>
              <w:rPr>
                <w:rFonts w:cs="Arial"/>
                <w:sz w:val="22"/>
                <w:szCs w:val="22"/>
              </w:rPr>
            </w:pP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</w:t>
            </w:r>
          </w:p>
        </w:tc>
        <w:tc>
          <w:tcPr>
            <w:tcW w:w="7488" w:type="dxa"/>
            <w:vAlign w:val="center"/>
          </w:tcPr>
          <w:p w:rsidR="001646CC" w:rsidRDefault="001646CC" w:rsidP="00164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punto di vista e il narratore B</w:t>
            </w:r>
          </w:p>
          <w:p w:rsidR="00D96841" w:rsidRDefault="00D96841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488" w:type="dxa"/>
            <w:vAlign w:val="center"/>
          </w:tcPr>
          <w:p w:rsidR="001646CC" w:rsidRDefault="001646CC" w:rsidP="00164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Oltre la trama</w:t>
            </w:r>
          </w:p>
          <w:p w:rsidR="00D96841" w:rsidRDefault="00D96841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7488" w:type="dxa"/>
            <w:vAlign w:val="center"/>
          </w:tcPr>
          <w:p w:rsidR="00D96841" w:rsidRDefault="001646CC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La fisionomia del personaggio 1</w:t>
            </w: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7488" w:type="dxa"/>
            <w:vAlign w:val="center"/>
          </w:tcPr>
          <w:p w:rsidR="00D96841" w:rsidRDefault="001646CC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La fisionomia del personaggio 2</w:t>
            </w: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</w:t>
            </w:r>
          </w:p>
        </w:tc>
        <w:tc>
          <w:tcPr>
            <w:tcW w:w="7488" w:type="dxa"/>
            <w:vAlign w:val="center"/>
          </w:tcPr>
          <w:p w:rsidR="00D96841" w:rsidRDefault="001646CC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Il tempo</w:t>
            </w:r>
          </w:p>
        </w:tc>
      </w:tr>
      <w:tr w:rsidR="00D96841">
        <w:trPr>
          <w:trHeight w:val="567"/>
        </w:trPr>
        <w:tc>
          <w:tcPr>
            <w:tcW w:w="385" w:type="dxa"/>
            <w:vAlign w:val="center"/>
          </w:tcPr>
          <w:p w:rsidR="00D96841" w:rsidRDefault="001646C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vAlign w:val="center"/>
          </w:tcPr>
          <w:p w:rsidR="00D96841" w:rsidRDefault="001646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13.05.2026</w:t>
            </w:r>
          </w:p>
        </w:tc>
        <w:tc>
          <w:tcPr>
            <w:tcW w:w="7488" w:type="dxa"/>
            <w:vAlign w:val="center"/>
          </w:tcPr>
          <w:p w:rsidR="001646CC" w:rsidRDefault="001646CC" w:rsidP="001646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 tipologie </w:t>
            </w:r>
          </w:p>
          <w:p w:rsidR="00D96841" w:rsidRDefault="00D9684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D96841" w:rsidRDefault="00D96841">
      <w:pPr>
        <w:rPr>
          <w:rFonts w:ascii="Times New Roman" w:hAnsi="Times New Roman"/>
        </w:rPr>
      </w:pPr>
    </w:p>
    <w:p w:rsidR="00D96841" w:rsidRDefault="00D96841">
      <w:pPr>
        <w:rPr>
          <w:b/>
          <w:sz w:val="24"/>
        </w:rPr>
      </w:pPr>
    </w:p>
    <w:p w:rsidR="00D96841" w:rsidRDefault="00D96841">
      <w:pPr>
        <w:rPr>
          <w:b/>
          <w:sz w:val="24"/>
        </w:rPr>
      </w:pPr>
    </w:p>
    <w:p w:rsidR="00D96841" w:rsidRDefault="00D96841">
      <w:pPr>
        <w:rPr>
          <w:sz w:val="20"/>
          <w:szCs w:val="20"/>
        </w:rPr>
      </w:pPr>
      <w:bookmarkStart w:id="1" w:name="_GoBack"/>
      <w:bookmarkEnd w:id="1"/>
    </w:p>
    <w:sectPr w:rsidR="00D96841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41"/>
    <w:rsid w:val="001646CC"/>
    <w:rsid w:val="00D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2025-05-19T16:24:00Z</dcterms:created>
  <dcterms:modified xsi:type="dcterms:W3CDTF">2025-08-11T19:23:00Z</dcterms:modified>
  <dc:language>it-IT</dc:language>
</cp:coreProperties>
</file>